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Regulamin praktyk studenckich dla studentów Wydziału Lekarskiego – kierunek Optyka okularowa z elementami optometrii</w:t>
      </w:r>
    </w:p>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Collegium Medicum UMK im. L. Rydygiera w Bydgoszczy</w:t>
      </w:r>
    </w:p>
    <w:p>
      <w:pPr>
        <w:pStyle w:val="Normal"/>
        <w:tabs>
          <w:tab w:val="clear" w:pos="708"/>
          <w:tab w:val="left" w:pos="567" w:leader="none"/>
        </w:tabs>
        <w:spacing w:lineRule="auto" w:line="240" w:before="0" w:after="0"/>
        <w:jc w:val="both"/>
        <w:rPr>
          <w:rFonts w:ascii="Times New Roman" w:hAnsi="Times New Roman" w:eastAsia="Times New Roman" w:cs="Times New Roman"/>
          <w:b/>
          <w:b/>
          <w:color w:val="000000"/>
          <w:sz w:val="24"/>
          <w:szCs w:val="24"/>
          <w:lang w:val="pl-PL"/>
        </w:rPr>
      </w:pPr>
      <w:r>
        <w:rPr>
          <w:rFonts w:eastAsia="Times New Roman" w:cs="Times New Roman" w:ascii="Times New Roman" w:hAnsi="Times New Roman"/>
          <w:b/>
          <w:color w:val="000000"/>
          <w:sz w:val="24"/>
          <w:szCs w:val="24"/>
          <w:lang w:val="pl-PL"/>
        </w:rPr>
      </w:r>
    </w:p>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§1</w:t>
      </w:r>
    </w:p>
    <w:p>
      <w:pPr>
        <w:pStyle w:val="Normal"/>
        <w:tabs>
          <w:tab w:val="clear" w:pos="708"/>
          <w:tab w:val="left" w:pos="567" w:leader="none"/>
        </w:tabs>
        <w:spacing w:lineRule="auto" w:line="240" w:before="0" w:after="0"/>
        <w:jc w:val="center"/>
        <w:rPr>
          <w:rFonts w:ascii="Times New Roman" w:hAnsi="Times New Roman" w:eastAsia="Times New Roman" w:cs="Times New Roman"/>
          <w:b/>
          <w:b/>
          <w:lang w:val="pl-PL"/>
        </w:rPr>
      </w:pPr>
      <w:r>
        <w:rPr>
          <w:rFonts w:eastAsia="Times New Roman" w:cs="Times New Roman" w:ascii="Times New Roman" w:hAnsi="Times New Roman"/>
          <w:b/>
          <w:lang w:val="pl-PL"/>
        </w:rPr>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 xml:space="preserve">Celem praktyk studenckich jest doskonalenie umiejętności praktycznych </w:t>
      </w:r>
      <w:r>
        <w:rPr>
          <w:rFonts w:eastAsia="Times New Roman" w:cs="Times New Roman" w:ascii="Times New Roman" w:hAnsi="Times New Roman"/>
          <w:color w:val="000000"/>
          <w:sz w:val="24"/>
          <w:szCs w:val="24"/>
          <w:lang w:val="pl-PL" w:eastAsia="pl-PL"/>
        </w:rPr>
        <w:t>w zakresie odbywanych studiów</w:t>
      </w:r>
      <w:r>
        <w:rPr>
          <w:rFonts w:eastAsia="Times New Roman" w:cs="Times New Roman" w:ascii="Times New Roman" w:hAnsi="Times New Roman"/>
          <w:color w:val="000000"/>
          <w:sz w:val="24"/>
          <w:szCs w:val="24"/>
          <w:lang w:val="pl-PL"/>
        </w:rPr>
        <w:t xml:space="preserve"> w rzeczywistych warunkach pracy.</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Praktyki studenckie realizowane są w oparciu o</w:t>
      </w:r>
      <w:r>
        <w:rPr>
          <w:rFonts w:eastAsia="Times New Roman" w:cs="Times New Roman" w:ascii="Times New Roman" w:hAnsi="Times New Roman"/>
          <w:bCs/>
          <w:color w:val="000000"/>
          <w:sz w:val="24"/>
          <w:szCs w:val="24"/>
          <w:lang w:val="pl-PL"/>
        </w:rPr>
        <w:t xml:space="preserve"> Zarządzenie Nr 100 Rektora </w:t>
      </w:r>
      <w:r>
        <w:rPr>
          <w:rFonts w:eastAsia="Times New Roman" w:cs="Times New Roman" w:ascii="Times New Roman" w:hAnsi="Times New Roman"/>
          <w:color w:val="000000"/>
          <w:sz w:val="24"/>
          <w:szCs w:val="24"/>
          <w:lang w:val="pl-PL" w:eastAsia="pl-PL"/>
        </w:rPr>
        <w:t>Uniwersytetu Mikołaja Kopernika w Toruniu z dnia 10 sierpnia 2009 r. w sprawie zasad odbywania praktyk studenckich.</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Praktyki stanowią integralną część kształcenia na poszczególnych latach studiów i są realizowane zgodnie z planem i programem nauczania na kierunku Optyka okularowa z elementami optometrii.</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eastAsia="pl-PL"/>
        </w:rPr>
        <w:t>Wymiar praktyk określony jest dla każdego roku w Programie praktyk i nie ma możliwości zwolnienia z obowiązku ich odbywania.</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eastAsia="pl-PL"/>
        </w:rPr>
        <w:t xml:space="preserve">Wymiar godzinowy odbywanych przez studenta praktyk na terenie wybranej placówki wynosi 6 godzin zegarowych tj. 8 godzin dydaktycznych na dobę, z wyłączeniem dni wolnych od pracy. Przedłużenie dobowego wymiaru praktyki jest dopuszczalne za zgodą                        i porozumieniem stron (opiekunów praktyki oraz studenta), nie więcej jednak niż do 12 godzin dydaktycznych. </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Praktyki są realizowane zgodnie z programem opracowanym przez Wydziałowego Opiekuna Praktyk powołanego przez Dziekana WL.</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 xml:space="preserve">Praktyki studentów odbywają się w zakładach optycznych – zarówno w ich części handlowej, jak i w warsztacie optycznym oraz w gabinetach optometrycznych i okulistycznych realizujących cele i efekty kształcenia programu praktyk studenckich. </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 xml:space="preserve">Program praktyk odbywanych za granicą jest wstępnie weryfikowany, a następnie akceptowany przez opiekuna praktyk. </w:t>
      </w:r>
    </w:p>
    <w:p>
      <w:pPr>
        <w:pStyle w:val="Kolorowalistaakcent11"/>
        <w:numPr>
          <w:ilvl w:val="0"/>
          <w:numId w:val="8"/>
        </w:numPr>
        <w:tabs>
          <w:tab w:val="clear" w:pos="708"/>
          <w:tab w:val="left" w:pos="284"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eastAsia="pl-PL"/>
        </w:rPr>
        <w:t>Placówka, w której odbywają się praktyki powinna spełniać poniższe kryteria:</w:t>
      </w:r>
    </w:p>
    <w:p>
      <w:pPr>
        <w:pStyle w:val="NoSpacing"/>
        <w:numPr>
          <w:ilvl w:val="0"/>
          <w:numId w:val="9"/>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placówka świadczy szeroki wachlarz usług i cieszy się uznaniem w środowisku,</w:t>
      </w:r>
    </w:p>
    <w:p>
      <w:pPr>
        <w:pStyle w:val="NoSpacing"/>
        <w:numPr>
          <w:ilvl w:val="0"/>
          <w:numId w:val="9"/>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 xml:space="preserve">wykształcenie pracowników realizujących w/w zajęcia i praktyki tj. np. wieloletnie </w:t>
      </w:r>
      <w:r>
        <w:rPr>
          <w:rFonts w:eastAsia="Times New Roman" w:cs="Times New Roman" w:ascii="Times New Roman" w:hAnsi="Times New Roman"/>
          <w:color w:val="000000"/>
          <w:spacing w:val="-1"/>
          <w:sz w:val="24"/>
          <w:szCs w:val="24"/>
        </w:rPr>
        <w:t xml:space="preserve">doświadczenie zawodowe w danej dziedzinie, świadomość ról zawodowych, </w:t>
      </w:r>
      <w:r>
        <w:rPr>
          <w:rFonts w:eastAsia="Times New Roman" w:cs="Times New Roman" w:ascii="Times New Roman" w:hAnsi="Times New Roman"/>
          <w:color w:val="000000"/>
          <w:spacing w:val="2"/>
          <w:sz w:val="24"/>
          <w:szCs w:val="24"/>
        </w:rPr>
        <w:t>umiejętność przekazywania wiedzy, dobry kontakt ze studentem,</w:t>
      </w:r>
    </w:p>
    <w:p>
      <w:pPr>
        <w:pStyle w:val="NoSpacing"/>
        <w:numPr>
          <w:ilvl w:val="0"/>
          <w:numId w:val="9"/>
        </w:numPr>
        <w:spacing w:lineRule="auto" w:line="240"/>
        <w:ind w:left="720" w:hanging="153"/>
        <w:jc w:val="both"/>
        <w:rPr>
          <w:color w:val="000000"/>
          <w:sz w:val="24"/>
          <w:szCs w:val="24"/>
        </w:rPr>
      </w:pPr>
      <w:r>
        <w:rPr>
          <w:rFonts w:eastAsia="Times New Roman" w:cs="Times New Roman" w:ascii="Times New Roman" w:hAnsi="Times New Roman"/>
          <w:color w:val="000000"/>
          <w:spacing w:val="6"/>
          <w:sz w:val="24"/>
          <w:szCs w:val="24"/>
        </w:rPr>
        <w:t xml:space="preserve">wyposażenie placówki </w:t>
      </w:r>
      <w:r>
        <w:rPr>
          <w:rFonts w:eastAsia="Times New Roman" w:cs="Times New Roman" w:ascii="Times New Roman" w:hAnsi="Times New Roman"/>
          <w:color w:val="000000"/>
          <w:sz w:val="24"/>
          <w:szCs w:val="24"/>
        </w:rPr>
        <w:t>umożliwia zdobywanie praktycznej wiedzy,</w:t>
      </w:r>
    </w:p>
    <w:p>
      <w:pPr>
        <w:pStyle w:val="NoSpacing"/>
        <w:numPr>
          <w:ilvl w:val="0"/>
          <w:numId w:val="9"/>
        </w:numPr>
        <w:spacing w:lineRule="auto" w:line="240"/>
        <w:ind w:left="720" w:hanging="153"/>
        <w:jc w:val="both"/>
        <w:rPr>
          <w:color w:val="000000"/>
          <w:sz w:val="24"/>
          <w:szCs w:val="24"/>
        </w:rPr>
      </w:pPr>
      <w:r>
        <w:rPr>
          <w:rFonts w:eastAsia="Times New Roman" w:cs="Times New Roman" w:ascii="Times New Roman" w:hAnsi="Times New Roman"/>
          <w:color w:val="000000"/>
          <w:spacing w:val="2"/>
          <w:sz w:val="24"/>
          <w:szCs w:val="24"/>
        </w:rPr>
        <w:t>placówka posiada doświadczenie w pracy ze studentami,</w:t>
      </w:r>
    </w:p>
    <w:p>
      <w:pPr>
        <w:pStyle w:val="NoSpacing"/>
        <w:numPr>
          <w:ilvl w:val="0"/>
          <w:numId w:val="9"/>
        </w:numPr>
        <w:spacing w:lineRule="auto" w:line="240"/>
        <w:ind w:left="720" w:hanging="153"/>
        <w:jc w:val="both"/>
        <w:rPr>
          <w:color w:val="000000"/>
          <w:sz w:val="24"/>
          <w:szCs w:val="24"/>
        </w:rPr>
      </w:pPr>
      <w:r>
        <w:rPr>
          <w:rFonts w:eastAsia="Times New Roman" w:cs="Times New Roman" w:ascii="Times New Roman" w:hAnsi="Times New Roman"/>
          <w:color w:val="000000"/>
          <w:spacing w:val="3"/>
          <w:sz w:val="24"/>
          <w:szCs w:val="24"/>
        </w:rPr>
        <w:t>charakter i zakres świadczeń umożliwia realizacje celów kształcenia.</w:t>
      </w:r>
    </w:p>
    <w:p>
      <w:pPr>
        <w:pStyle w:val="Kolorowalistaakcent11"/>
        <w:numPr>
          <w:ilvl w:val="0"/>
          <w:numId w:val="8"/>
        </w:numPr>
        <w:tabs>
          <w:tab w:val="clear" w:pos="708"/>
          <w:tab w:val="left" w:pos="284" w:leader="none"/>
          <w:tab w:val="left" w:pos="426"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eastAsia="pl-PL"/>
        </w:rPr>
        <w:t>Praktyki mogą być prowadzone indywidualnie lub w grupach. Liczba studentów w grupie powinna umożliwiać realizację programu praktyk, uwzględniać uwarunkowania merytoryczne oraz względy bezpieczeństwa.</w:t>
      </w:r>
    </w:p>
    <w:p>
      <w:pPr>
        <w:pStyle w:val="Kolorowalistaakcent11"/>
        <w:numPr>
          <w:ilvl w:val="0"/>
          <w:numId w:val="8"/>
        </w:numPr>
        <w:tabs>
          <w:tab w:val="clear" w:pos="708"/>
          <w:tab w:val="left" w:pos="284" w:leader="none"/>
          <w:tab w:val="left" w:pos="426" w:leader="none"/>
        </w:tabs>
        <w:spacing w:lineRule="auto" w:line="240" w:before="0" w:after="0"/>
        <w:ind w:left="284" w:hanging="284"/>
        <w:contextualSpacing/>
        <w:jc w:val="both"/>
        <w:rPr>
          <w:color w:val="000000"/>
          <w:sz w:val="24"/>
          <w:szCs w:val="24"/>
        </w:rPr>
      </w:pPr>
      <w:r>
        <w:rPr>
          <w:rFonts w:eastAsia="Times New Roman" w:cs="Times New Roman" w:ascii="Times New Roman" w:hAnsi="Times New Roman"/>
          <w:color w:val="000000"/>
          <w:sz w:val="24"/>
          <w:szCs w:val="24"/>
          <w:lang w:val="pl-PL"/>
        </w:rPr>
        <w:t>Praktyki odbywają się na podstawie porozumienia zawartego między placówką, w której będzie odbywać się praktyka a Uczelnią. Porozumienie z ramienia Uczelni podpisuje dziekan lub upoważniony przez niego prodziekan, z ramienia placówki – osoba bądź osoby upoważnione do jej reprezentowania.</w:t>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center"/>
        <w:rPr>
          <w:color w:val="000000"/>
          <w:sz w:val="24"/>
          <w:szCs w:val="24"/>
        </w:rPr>
      </w:pPr>
      <w:r>
        <w:rPr>
          <w:rFonts w:eastAsia="Times New Roman" w:cs="Times New Roman" w:ascii="Times New Roman" w:hAnsi="Times New Roman"/>
          <w:b/>
          <w:color w:val="000000"/>
          <w:sz w:val="24"/>
          <w:szCs w:val="24"/>
          <w:lang w:val="pl-PL"/>
        </w:rPr>
        <w:t>§2</w:t>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center"/>
        <w:rPr>
          <w:rFonts w:ascii="Times New Roman" w:hAnsi="Times New Roman" w:eastAsia="Times New Roman" w:cs="Times New Roman"/>
          <w:b/>
          <w:b/>
          <w:lang w:val="pl-PL"/>
        </w:rPr>
      </w:pPr>
      <w:r>
        <w:rPr>
          <w:rFonts w:eastAsia="Times New Roman" w:cs="Times New Roman" w:ascii="Times New Roman" w:hAnsi="Times New Roman"/>
          <w:b/>
          <w:lang w:val="pl-PL"/>
        </w:rPr>
      </w:r>
    </w:p>
    <w:p>
      <w:pPr>
        <w:pStyle w:val="Normal"/>
        <w:numPr>
          <w:ilvl w:val="0"/>
          <w:numId w:val="3"/>
        </w:numPr>
        <w:tabs>
          <w:tab w:val="clear" w:pos="708"/>
          <w:tab w:val="left" w:pos="284" w:leader="none"/>
        </w:tabs>
        <w:spacing w:lineRule="auto" w:line="240" w:before="0" w:after="0"/>
        <w:ind w:left="284" w:hanging="284"/>
        <w:jc w:val="both"/>
        <w:rPr>
          <w:color w:val="000000"/>
          <w:sz w:val="24"/>
          <w:szCs w:val="24"/>
        </w:rPr>
      </w:pPr>
      <w:r>
        <w:rPr>
          <w:rFonts w:eastAsia="Times New Roman" w:cs="Times New Roman" w:ascii="Times New Roman" w:hAnsi="Times New Roman"/>
          <w:color w:val="000000"/>
          <w:sz w:val="24"/>
          <w:szCs w:val="24"/>
          <w:lang w:val="pl-PL"/>
        </w:rPr>
        <w:t>Do obowiązków Wydziału należy przygotowanie i udostępnienie studentom dokumentacji związanej z realizacją praktyki.</w:t>
      </w:r>
    </w:p>
    <w:p>
      <w:pPr>
        <w:pStyle w:val="Normal"/>
        <w:numPr>
          <w:ilvl w:val="0"/>
          <w:numId w:val="3"/>
        </w:numPr>
        <w:tabs>
          <w:tab w:val="clear" w:pos="708"/>
          <w:tab w:val="left" w:pos="284" w:leader="none"/>
        </w:tabs>
        <w:spacing w:lineRule="auto" w:line="240" w:before="0" w:after="0"/>
        <w:ind w:left="284" w:hanging="284"/>
        <w:jc w:val="both"/>
        <w:rPr>
          <w:color w:val="000000"/>
          <w:sz w:val="24"/>
          <w:szCs w:val="24"/>
        </w:rPr>
      </w:pPr>
      <w:r>
        <w:rPr>
          <w:rFonts w:eastAsia="Times New Roman" w:cs="Times New Roman" w:ascii="Times New Roman" w:hAnsi="Times New Roman"/>
          <w:color w:val="000000"/>
          <w:sz w:val="24"/>
          <w:szCs w:val="24"/>
          <w:lang w:val="pl-PL" w:eastAsia="pl-PL"/>
        </w:rPr>
        <w:t xml:space="preserve">Porozumienie, o którym mowa w </w:t>
      </w:r>
      <w:r>
        <w:rPr>
          <w:rFonts w:eastAsia="Times New Roman" w:cs="Times New Roman" w:ascii="Times New Roman" w:hAnsi="Times New Roman"/>
          <w:color w:val="000000"/>
          <w:sz w:val="24"/>
          <w:szCs w:val="24"/>
          <w:lang w:val="pl-PL"/>
        </w:rPr>
        <w:t>§</w:t>
      </w:r>
      <w:r>
        <w:rPr>
          <w:rFonts w:eastAsia="Times New Roman" w:cs="Times New Roman" w:ascii="Times New Roman" w:hAnsi="Times New Roman"/>
          <w:color w:val="000000"/>
          <w:sz w:val="24"/>
          <w:szCs w:val="24"/>
          <w:lang w:val="pl-PL" w:eastAsia="pl-PL"/>
        </w:rPr>
        <w:t>1, określa obowiązki Uczelni i</w:t>
      </w:r>
      <w:r>
        <w:rPr>
          <w:rFonts w:eastAsia="Times New Roman" w:cs="Times New Roman" w:ascii="Times New Roman" w:hAnsi="Times New Roman"/>
          <w:color w:val="000000"/>
          <w:sz w:val="24"/>
          <w:szCs w:val="24"/>
          <w:lang w:val="pl-PL"/>
        </w:rPr>
        <w:t xml:space="preserve"> </w:t>
      </w:r>
      <w:r>
        <w:rPr>
          <w:rFonts w:eastAsia="Times New Roman" w:cs="Times New Roman" w:ascii="Times New Roman" w:hAnsi="Times New Roman"/>
          <w:color w:val="000000"/>
          <w:sz w:val="24"/>
          <w:szCs w:val="24"/>
          <w:lang w:val="pl-PL" w:eastAsia="pl-PL"/>
        </w:rPr>
        <w:t>studenta, oraz placówki, w których odbywają się praktyki.</w:t>
      </w:r>
    </w:p>
    <w:p>
      <w:pPr>
        <w:pStyle w:val="Normal"/>
        <w:numPr>
          <w:ilvl w:val="0"/>
          <w:numId w:val="3"/>
        </w:numPr>
        <w:tabs>
          <w:tab w:val="clear" w:pos="708"/>
          <w:tab w:val="left" w:pos="284" w:leader="none"/>
        </w:tabs>
        <w:spacing w:lineRule="auto" w:line="240" w:before="0" w:after="0"/>
        <w:ind w:left="426" w:hanging="426"/>
        <w:jc w:val="both"/>
        <w:rPr>
          <w:color w:val="000000"/>
          <w:sz w:val="24"/>
          <w:szCs w:val="24"/>
        </w:rPr>
      </w:pPr>
      <w:r>
        <w:rPr>
          <w:rFonts w:eastAsia="Times New Roman" w:cs="Times New Roman" w:ascii="Times New Roman" w:hAnsi="Times New Roman"/>
          <w:color w:val="000000"/>
          <w:sz w:val="24"/>
          <w:szCs w:val="24"/>
          <w:lang w:val="pl-PL" w:eastAsia="pl-PL"/>
        </w:rPr>
        <w:t>Przed rozpoczęciem praktyki, student zobowiązany jest posiadać:</w:t>
      </w:r>
    </w:p>
    <w:p>
      <w:pPr>
        <w:pStyle w:val="Normal"/>
        <w:numPr>
          <w:ilvl w:val="0"/>
          <w:numId w:val="10"/>
        </w:numPr>
        <w:tabs>
          <w:tab w:val="clear" w:pos="708"/>
          <w:tab w:val="left" w:pos="284" w:leader="none"/>
          <w:tab w:val="left" w:pos="709" w:leader="none"/>
        </w:tabs>
        <w:spacing w:lineRule="auto" w:line="240" w:before="0" w:after="0"/>
        <w:ind w:left="709" w:hanging="283"/>
        <w:jc w:val="both"/>
        <w:rPr>
          <w:color w:val="000000"/>
          <w:sz w:val="24"/>
          <w:szCs w:val="24"/>
        </w:rPr>
      </w:pPr>
      <w:r>
        <w:rPr>
          <w:rFonts w:eastAsia="Times New Roman" w:cs="Times New Roman" w:ascii="Times New Roman" w:hAnsi="Times New Roman"/>
          <w:color w:val="000000"/>
          <w:sz w:val="24"/>
          <w:szCs w:val="24"/>
          <w:lang w:val="pl-PL"/>
        </w:rPr>
        <w:t>program praktyki,</w:t>
      </w:r>
    </w:p>
    <w:p>
      <w:pPr>
        <w:pStyle w:val="Normal"/>
        <w:numPr>
          <w:ilvl w:val="0"/>
          <w:numId w:val="10"/>
        </w:numPr>
        <w:tabs>
          <w:tab w:val="clear" w:pos="708"/>
          <w:tab w:val="left" w:pos="284" w:leader="none"/>
          <w:tab w:val="left" w:pos="709" w:leader="none"/>
        </w:tabs>
        <w:spacing w:lineRule="auto" w:line="240" w:before="0" w:after="0"/>
        <w:ind w:left="709" w:hanging="283"/>
        <w:jc w:val="both"/>
        <w:rPr>
          <w:color w:val="000000"/>
          <w:sz w:val="24"/>
          <w:szCs w:val="24"/>
        </w:rPr>
      </w:pPr>
      <w:r>
        <w:rPr>
          <w:rFonts w:eastAsia="Times New Roman" w:cs="Times New Roman" w:ascii="Times New Roman" w:hAnsi="Times New Roman"/>
          <w:color w:val="000000"/>
          <w:sz w:val="24"/>
          <w:szCs w:val="24"/>
          <w:lang w:val="pl-PL"/>
        </w:rPr>
        <w:t>kartę przebiegu praktyki,</w:t>
      </w:r>
    </w:p>
    <w:p>
      <w:pPr>
        <w:pStyle w:val="Normal"/>
        <w:numPr>
          <w:ilvl w:val="0"/>
          <w:numId w:val="10"/>
        </w:numPr>
        <w:tabs>
          <w:tab w:val="clear" w:pos="708"/>
          <w:tab w:val="left" w:pos="284" w:leader="none"/>
          <w:tab w:val="left" w:pos="709" w:leader="none"/>
        </w:tabs>
        <w:spacing w:lineRule="auto" w:line="240" w:before="0" w:after="0"/>
        <w:ind w:left="709" w:hanging="283"/>
        <w:jc w:val="both"/>
        <w:rPr/>
      </w:pPr>
      <w:r>
        <w:rPr>
          <w:rFonts w:eastAsia="Times New Roman" w:cs="Times New Roman" w:ascii="Times New Roman" w:hAnsi="Times New Roman"/>
          <w:color w:val="000000"/>
          <w:sz w:val="24"/>
          <w:szCs w:val="24"/>
          <w:lang w:val="pl-PL"/>
        </w:rPr>
        <w:t xml:space="preserve">aktualną polisę ubezpieczenia odpowiedzialności cywilnej (OC) i </w:t>
      </w:r>
      <w:r>
        <w:rPr>
          <w:rStyle w:val="St"/>
          <w:rFonts w:eastAsia="Times New Roman" w:cs="Times New Roman" w:ascii="Times New Roman" w:hAnsi="Times New Roman"/>
          <w:color w:val="000000"/>
          <w:sz w:val="24"/>
          <w:szCs w:val="24"/>
          <w:lang w:val="pl-PL"/>
        </w:rPr>
        <w:t>następstw nieszczęśliwych wypadków (</w:t>
      </w:r>
      <w:r>
        <w:rPr>
          <w:rFonts w:eastAsia="Times New Roman" w:cs="Times New Roman" w:ascii="Times New Roman" w:hAnsi="Times New Roman"/>
          <w:color w:val="000000"/>
          <w:sz w:val="24"/>
          <w:szCs w:val="24"/>
          <w:lang w:val="pl-PL"/>
        </w:rPr>
        <w:t xml:space="preserve">NNW), </w:t>
      </w:r>
    </w:p>
    <w:p>
      <w:pPr>
        <w:pStyle w:val="Normal"/>
        <w:numPr>
          <w:ilvl w:val="0"/>
          <w:numId w:val="10"/>
        </w:numPr>
        <w:tabs>
          <w:tab w:val="clear" w:pos="708"/>
          <w:tab w:val="left" w:pos="284" w:leader="none"/>
          <w:tab w:val="left" w:pos="709" w:leader="none"/>
        </w:tabs>
        <w:spacing w:lineRule="auto" w:line="240" w:before="0" w:after="0"/>
        <w:ind w:left="709" w:hanging="283"/>
        <w:jc w:val="both"/>
        <w:rPr>
          <w:color w:val="000000"/>
          <w:sz w:val="24"/>
          <w:szCs w:val="24"/>
        </w:rPr>
      </w:pPr>
      <w:r>
        <w:rPr>
          <w:rFonts w:eastAsia="Times New Roman" w:cs="Times New Roman" w:ascii="Times New Roman" w:hAnsi="Times New Roman"/>
          <w:color w:val="000000"/>
          <w:sz w:val="24"/>
          <w:szCs w:val="24"/>
          <w:lang w:val="pl-PL"/>
        </w:rPr>
        <w:t>aktualną książeczkę do celów sanitarno-epidemiologicznych, zaświadczenie o szczepieniu przeciw WZW typu B</w:t>
      </w:r>
      <w:r>
        <w:rPr>
          <w:rFonts w:eastAsia="Times New Roman" w:cs="Times New Roman" w:ascii="Times New Roman" w:hAnsi="Times New Roman"/>
          <w:i/>
          <w:iCs/>
          <w:color w:val="000000"/>
          <w:sz w:val="24"/>
          <w:szCs w:val="24"/>
          <w:lang w:val="pl-PL"/>
        </w:rPr>
        <w:t xml:space="preserve"> </w:t>
      </w:r>
      <w:r>
        <w:rPr>
          <w:rFonts w:eastAsia="Times New Roman" w:cs="Times New Roman" w:ascii="Times New Roman" w:hAnsi="Times New Roman"/>
          <w:i w:val="false"/>
          <w:iCs w:val="false"/>
          <w:color w:val="000000"/>
          <w:sz w:val="24"/>
          <w:szCs w:val="24"/>
          <w:lang w:val="pl-PL"/>
        </w:rPr>
        <w:t>oraz o</w:t>
      </w:r>
      <w:r>
        <w:rPr>
          <w:rFonts w:eastAsia="Times New Roman" w:cs="Times New Roman" w:ascii="Times New Roman" w:hAnsi="Times New Roman"/>
          <w:color w:val="000000"/>
          <w:sz w:val="24"/>
          <w:szCs w:val="24"/>
          <w:lang w:val="pl-PL"/>
        </w:rPr>
        <w:t>chronne ubranie i obuwie medyczne, w przypadku, gdy praktyka realizowana jest w placówce medycznej.</w:t>
      </w:r>
    </w:p>
    <w:p>
      <w:pPr>
        <w:pStyle w:val="Normal"/>
        <w:numPr>
          <w:ilvl w:val="0"/>
          <w:numId w:val="0"/>
        </w:numPr>
        <w:tabs>
          <w:tab w:val="clear" w:pos="708"/>
          <w:tab w:val="left" w:pos="284" w:leader="none"/>
          <w:tab w:val="left" w:pos="709" w:leader="none"/>
        </w:tabs>
        <w:spacing w:lineRule="auto" w:line="240" w:before="0" w:after="0"/>
        <w:ind w:left="709" w:hanging="0"/>
        <w:jc w:val="both"/>
        <w:rPr>
          <w:rFonts w:ascii="Times New Roman" w:hAnsi="Times New Roman" w:eastAsia="Times New Roman" w:cs="Times New Roman"/>
          <w:lang w:val="pl-PL"/>
        </w:rPr>
      </w:pPr>
      <w:r>
        <w:rPr>
          <w:rFonts w:eastAsia="Times New Roman" w:cs="Times New Roman" w:ascii="Times New Roman" w:hAnsi="Times New Roman"/>
          <w:lang w:val="pl-PL"/>
        </w:rPr>
      </w:r>
    </w:p>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§3</w:t>
      </w:r>
    </w:p>
    <w:p>
      <w:pPr>
        <w:pStyle w:val="NormalWeb"/>
        <w:spacing w:lineRule="auto" w:line="240"/>
        <w:jc w:val="both"/>
        <w:rPr>
          <w:color w:val="000000"/>
          <w:sz w:val="24"/>
          <w:szCs w:val="24"/>
        </w:rPr>
      </w:pPr>
      <w:r>
        <w:rPr>
          <w:rFonts w:cs="Times New Roman"/>
          <w:b/>
          <w:bCs/>
          <w:color w:val="000000"/>
          <w:sz w:val="24"/>
          <w:szCs w:val="24"/>
        </w:rPr>
        <w:t xml:space="preserve">Okresy i terminy odbywania praktyk oraz czas ich trwania </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 xml:space="preserve">Praktyki na kierunku Optyka okularowa z elementami optometrii odbywają się w miesiącach wakacyjnych (po I i II roku) oraz śródrocznie – na III roku. </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 xml:space="preserve">W uzasadnionych przypadkach, student, na pisemny wniosek i za zgodą Prodziekana Wydziału Lekarskiego, może zmienić termin odbywania praktyk. Alternatywny termin nie może jednak kolidować z terminami zajęć obowiązkowych, a jednostka przyjmująca studenta na praktykę nie wymaga zawarcia porozumienia. </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 xml:space="preserve">Student jest zobowiązany do odbywania zgodnie z harmonogramem pracy placówki, w której odbywa praktykę. </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W czasie trwania praktyk nie przewiduje się godzin nocnych.</w:t>
      </w:r>
    </w:p>
    <w:p>
      <w:pPr>
        <w:pStyle w:val="NormalWeb"/>
        <w:numPr>
          <w:ilvl w:val="0"/>
          <w:numId w:val="5"/>
        </w:numPr>
        <w:spacing w:lineRule="auto" w:line="240" w:before="0" w:after="280"/>
        <w:jc w:val="both"/>
        <w:rPr>
          <w:color w:val="000000"/>
          <w:sz w:val="24"/>
          <w:szCs w:val="24"/>
        </w:rPr>
      </w:pPr>
      <w:r>
        <w:rPr>
          <w:rFonts w:cs="Times New Roman"/>
          <w:color w:val="000000"/>
          <w:sz w:val="24"/>
          <w:szCs w:val="24"/>
        </w:rPr>
        <w:t xml:space="preserve">Harmonogram pracy student ustala z opiekunem nadzorującym przebieg praktyk w danej jednostce. </w:t>
      </w:r>
    </w:p>
    <w:p>
      <w:pPr>
        <w:pStyle w:val="NormalWeb"/>
        <w:numPr>
          <w:ilvl w:val="0"/>
          <w:numId w:val="5"/>
        </w:numPr>
        <w:spacing w:lineRule="auto" w:line="240" w:before="0" w:after="280"/>
        <w:jc w:val="both"/>
        <w:rPr>
          <w:color w:val="000000"/>
          <w:sz w:val="24"/>
          <w:szCs w:val="24"/>
        </w:rPr>
      </w:pPr>
      <w:r>
        <w:rPr>
          <w:rFonts w:cs="Times New Roman"/>
          <w:color w:val="000000"/>
          <w:sz w:val="24"/>
          <w:szCs w:val="24"/>
        </w:rPr>
        <w:t xml:space="preserve">Wymiar czasu trwania praktyk jest zgodny z efektami kształcenia określonymi                           dla danego kierunku i wynosi odpowiednio 2 tygodnie (80 godzin) po I roku, 3 tygodnie (120 godzin) po II roku i 2 tygodnie (80 godzin) w trakcie III roku. Po ich odbyciu student uzyskuje 4, 6 lub 2 punkty ECTS odpowiednio po każdym roku. </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Nieobecność  studenta na praktyce może być usprawiedliwiona jedynie na podstawie zaświadczenia lekarskiego. Zwolnienie powoduje przedłużenie praktyki o czas nieobecności.</w:t>
      </w:r>
    </w:p>
    <w:p>
      <w:pPr>
        <w:pStyle w:val="NormalWeb"/>
        <w:numPr>
          <w:ilvl w:val="0"/>
          <w:numId w:val="5"/>
        </w:numPr>
        <w:spacing w:lineRule="auto" w:line="240" w:before="0" w:after="0"/>
        <w:jc w:val="both"/>
        <w:rPr>
          <w:color w:val="000000"/>
          <w:sz w:val="24"/>
          <w:szCs w:val="24"/>
        </w:rPr>
      </w:pPr>
      <w:r>
        <w:rPr>
          <w:rFonts w:cs="Times New Roman"/>
          <w:color w:val="000000"/>
          <w:sz w:val="24"/>
          <w:szCs w:val="24"/>
        </w:rPr>
        <w:t xml:space="preserve">Zmiana terminu rozpoczęcia lub zakończenia praktyk  spowodowana chorobą                                lub innymi zdarzeniami losowymi, których nie można było przewidzieć przed ustaleniem terminu może nastąpić po uzyskaniu zgody placówki, w której praktyki miały się odbyć lub są odbywane.  </w:t>
      </w:r>
    </w:p>
    <w:p>
      <w:pPr>
        <w:pStyle w:val="NormalWeb"/>
        <w:spacing w:lineRule="auto" w:line="240" w:before="0" w:after="0"/>
        <w:ind w:left="720" w:hanging="0"/>
        <w:jc w:val="both"/>
        <w:rPr>
          <w:rFonts w:cs="Times New Roman"/>
          <w:color w:val="000000"/>
          <w:sz w:val="24"/>
          <w:szCs w:val="24"/>
        </w:rPr>
      </w:pPr>
      <w:r>
        <w:rPr>
          <w:rFonts w:cs="Times New Roman"/>
          <w:color w:val="000000"/>
          <w:sz w:val="24"/>
          <w:szCs w:val="24"/>
        </w:rPr>
      </w:r>
    </w:p>
    <w:p>
      <w:pPr>
        <w:pStyle w:val="Normal"/>
        <w:tabs>
          <w:tab w:val="clear" w:pos="708"/>
          <w:tab w:val="left" w:pos="567" w:leader="none"/>
        </w:tabs>
        <w:spacing w:lineRule="auto" w:line="240" w:before="0" w:after="0"/>
        <w:ind w:left="360" w:hanging="0"/>
        <w:jc w:val="center"/>
        <w:rPr>
          <w:color w:val="000000"/>
          <w:sz w:val="24"/>
          <w:szCs w:val="24"/>
        </w:rPr>
      </w:pPr>
      <w:r>
        <w:rPr>
          <w:rFonts w:eastAsia="Times New Roman" w:cs="Times New Roman" w:ascii="Times New Roman" w:hAnsi="Times New Roman"/>
          <w:b/>
          <w:color w:val="000000"/>
          <w:sz w:val="24"/>
          <w:szCs w:val="24"/>
          <w:lang w:val="pl-PL"/>
        </w:rPr>
        <w:t>§4</w:t>
      </w:r>
    </w:p>
    <w:p>
      <w:pPr>
        <w:pStyle w:val="Normal"/>
        <w:tabs>
          <w:tab w:val="clear" w:pos="708"/>
          <w:tab w:val="left" w:pos="567" w:leader="none"/>
        </w:tabs>
        <w:spacing w:lineRule="auto" w:line="240" w:before="0" w:after="0"/>
        <w:ind w:left="360" w:hanging="0"/>
        <w:jc w:val="center"/>
        <w:rPr>
          <w:rFonts w:ascii="Times New Roman" w:hAnsi="Times New Roman" w:eastAsia="Times New Roman" w:cs="Times New Roman"/>
          <w:b/>
          <w:b/>
          <w:lang w:val="pl-PL"/>
        </w:rPr>
      </w:pPr>
      <w:r>
        <w:rPr>
          <w:rFonts w:eastAsia="Times New Roman" w:cs="Times New Roman" w:ascii="Times New Roman" w:hAnsi="Times New Roman"/>
          <w:b/>
          <w:lang w:val="pl-PL"/>
        </w:rPr>
      </w:r>
    </w:p>
    <w:p>
      <w:pPr>
        <w:pStyle w:val="NormalWeb"/>
        <w:numPr>
          <w:ilvl w:val="0"/>
          <w:numId w:val="11"/>
        </w:numPr>
        <w:spacing w:lineRule="auto" w:line="240" w:before="0" w:after="0"/>
        <w:rPr>
          <w:color w:val="000000"/>
          <w:sz w:val="24"/>
          <w:szCs w:val="24"/>
        </w:rPr>
      </w:pPr>
      <w:r>
        <w:rPr>
          <w:rFonts w:cs="Times New Roman"/>
          <w:color w:val="000000"/>
          <w:sz w:val="24"/>
          <w:szCs w:val="24"/>
        </w:rPr>
        <w:t>Student w czasie odbywania praktyk jest zobowiązany do:</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zapoznania się oraz ścisłego przestrzegania regulaminem praktyk,</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sumiennego wykonywania zadań powierzonych przez opiekuna praktyk oraz osób   nadzorujących przebieg praktyki,</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punktualnego zgłaszania się i obecności na zajęciach zgodnie z harmonogramem ustalonym przez opiekuna praktyk lub osobę nadzorującą,</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aktywnego uczestnictwa w zajęciach,</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nieopuszczania przypisanego stanowiska pracy bez zgody osoby sprawującej bezpośredni nadzór nad studentem odbywającym szkolenie, </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usprawiedliwienia nieobecności na zajęciach na podstawie zaświadczenia lekarskiego,</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przestrzegania praw pacjenta, zachowania w tajemnicy w zakresie wszelkich informacji dotyczących pacjenta i jego rodziny, do których uzyskał dostęp zarówno w związku z odbywaniem praktyk jak po ich zakończeniu, </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przestrzegania regulaminu pracy, dyscypliny pracy, przepisów w zakresie ochrony danych osobowych BHP, ppoż oraz zasad w zakresie kontroli zakażeń szpitalnych, które obowiązują  w placówce przyjmującej studenta na praktyki, </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posiadania wymaganego ubrania i obuwia roboczego umożliwiającego pracę zgodnie z obowiązującymi przepisami BHP oraz imiennego identyfikatora, </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posiadania aktualnych badań lekarskich oraz ubezpieczenia się we własnym zakresie od następstw nieszczęśliwych wypadków oraz odpowiedzialności cywilnych. Brak aktualnych badań lekarskich oraz ubezpieczenia może być podstawą odmowy przyjęcia studenta na praktykę, </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dbania o powierzone mienie oraz zabezpieczenie informacji i danych przed niepowołanym dostępem, nieuzasadnionym zniszczeniem, nielegalnym ujawnieniem lub pozyskaniem w stopniu odpowiednim do obowiązków (zadań) związanych z przetwarzaniem danych, w trakcie realizacji praktyk,</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posiadania i prowadzenia dokumentacji dotyczącej przebiegu praktyki, niezbędnej do jej zaliczenia,</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 xml:space="preserve"> </w:t>
      </w:r>
      <w:r>
        <w:rPr>
          <w:rFonts w:cs="Times New Roman"/>
          <w:color w:val="000000"/>
          <w:sz w:val="24"/>
          <w:szCs w:val="24"/>
        </w:rPr>
        <w:t>godnego reprezentowania uczelni w placówce przyjmującej studenta na praktyki,</w:t>
      </w:r>
    </w:p>
    <w:p>
      <w:pPr>
        <w:pStyle w:val="NormalWeb"/>
        <w:numPr>
          <w:ilvl w:val="1"/>
          <w:numId w:val="1"/>
        </w:numPr>
        <w:spacing w:lineRule="auto" w:line="240" w:before="0" w:after="0"/>
        <w:ind w:left="992" w:hanging="283"/>
        <w:jc w:val="both"/>
        <w:rPr>
          <w:color w:val="000000"/>
          <w:sz w:val="24"/>
          <w:szCs w:val="24"/>
        </w:rPr>
      </w:pPr>
      <w:r>
        <w:rPr>
          <w:rFonts w:cs="Times New Roman"/>
          <w:color w:val="000000"/>
          <w:sz w:val="24"/>
          <w:szCs w:val="24"/>
        </w:rPr>
        <w:t>zgłaszania przełożonym nieprawidłowości zaobserwowanych w trakcie odbywania praktyk,</w:t>
      </w:r>
    </w:p>
    <w:p>
      <w:pPr>
        <w:pStyle w:val="NormalWeb"/>
        <w:numPr>
          <w:ilvl w:val="0"/>
          <w:numId w:val="1"/>
        </w:numPr>
        <w:spacing w:lineRule="auto" w:line="240" w:before="0" w:after="0"/>
        <w:jc w:val="both"/>
        <w:rPr>
          <w:color w:val="000000"/>
          <w:sz w:val="24"/>
          <w:szCs w:val="24"/>
        </w:rPr>
      </w:pPr>
      <w:r>
        <w:rPr>
          <w:rFonts w:cs="Times New Roman"/>
          <w:color w:val="000000"/>
          <w:sz w:val="24"/>
          <w:szCs w:val="24"/>
        </w:rPr>
        <w:t>Student ponosi odpowiedzialność za szkody materialne wyrządzone umyślnie                                    w placówce przyjmującej na praktyki.</w:t>
      </w:r>
    </w:p>
    <w:p>
      <w:pPr>
        <w:pStyle w:val="Kolorowalistaakcent11"/>
        <w:numPr>
          <w:ilvl w:val="0"/>
          <w:numId w:val="1"/>
        </w:numPr>
        <w:tabs>
          <w:tab w:val="clear" w:pos="708"/>
          <w:tab w:val="left" w:pos="284" w:leader="none"/>
        </w:tabs>
        <w:spacing w:lineRule="auto" w:line="240" w:before="0" w:after="0"/>
        <w:contextualSpacing w:val="false"/>
        <w:jc w:val="both"/>
        <w:rPr>
          <w:color w:val="000000"/>
          <w:sz w:val="24"/>
          <w:szCs w:val="24"/>
        </w:rPr>
      </w:pPr>
      <w:r>
        <w:rPr>
          <w:rFonts w:eastAsia="Times New Roman" w:cs="Times New Roman" w:ascii="Times New Roman" w:hAnsi="Times New Roman"/>
          <w:color w:val="000000"/>
          <w:sz w:val="24"/>
          <w:szCs w:val="24"/>
          <w:lang w:val="pl-PL"/>
        </w:rPr>
        <w:t>Studentowi wykonującemu czynności w ramach studenckiej praktyki zawodowej nie przysługuje wynagrodzenie za ich wykonanie, a uczelnia kierująca studenta                                               na praktykę zawodową nie pokrywa żadnych kosztów związanych z praktykami,                                      z zastrzeżeniem kosztów badań w zakresie profilaktyki poekspozycyjnej (HIV).</w:t>
      </w:r>
    </w:p>
    <w:p>
      <w:pPr>
        <w:pStyle w:val="Kolorowalistaakcent11"/>
        <w:tabs>
          <w:tab w:val="clear" w:pos="708"/>
          <w:tab w:val="left" w:pos="567"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§5</w:t>
      </w:r>
    </w:p>
    <w:p>
      <w:pPr>
        <w:pStyle w:val="Normal"/>
        <w:tabs>
          <w:tab w:val="clear" w:pos="708"/>
          <w:tab w:val="left" w:pos="567" w:leader="none"/>
        </w:tabs>
        <w:spacing w:lineRule="auto" w:line="240" w:before="0" w:after="0"/>
        <w:jc w:val="center"/>
        <w:rPr>
          <w:rFonts w:ascii="Times New Roman" w:hAnsi="Times New Roman" w:eastAsia="Times New Roman" w:cs="Times New Roman"/>
          <w:b/>
          <w:b/>
          <w:lang w:val="pl-PL"/>
        </w:rPr>
      </w:pPr>
      <w:r>
        <w:rPr>
          <w:rFonts w:eastAsia="Times New Roman" w:cs="Times New Roman" w:ascii="Times New Roman" w:hAnsi="Times New Roman"/>
          <w:b/>
          <w:lang w:val="pl-PL"/>
        </w:rPr>
      </w:r>
    </w:p>
    <w:p>
      <w:pPr>
        <w:pStyle w:val="Normal"/>
        <w:tabs>
          <w:tab w:val="clear" w:pos="708"/>
          <w:tab w:val="left" w:pos="567" w:leader="none"/>
        </w:tabs>
        <w:spacing w:lineRule="auto" w:line="240" w:before="0" w:after="0"/>
        <w:jc w:val="both"/>
        <w:rPr>
          <w:color w:val="000000"/>
          <w:sz w:val="24"/>
          <w:szCs w:val="24"/>
        </w:rPr>
      </w:pPr>
      <w:r>
        <w:rPr>
          <w:rFonts w:eastAsia="Times New Roman" w:cs="Times New Roman" w:ascii="Times New Roman" w:hAnsi="Times New Roman"/>
          <w:b/>
          <w:color w:val="000000"/>
          <w:sz w:val="24"/>
          <w:szCs w:val="24"/>
          <w:lang w:val="pl-PL"/>
        </w:rPr>
        <w:t>Zaliczenie praktyk</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 xml:space="preserve">Termin rozliczenia praktyk przez studenta oraz uzyskania zaliczenia upływa ostatniego dnia letniej sesji poprawkowej (do 20 września). Zaliczenie praktyk jest warunkiem zaliczenia roku. </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 xml:space="preserve">Podstawą zaliczenia praktyk jest zrealizowanie ich programu, udokumentowane wpisem w karcie przebiegu praktyk. Wpis powinien zawierać: </w:t>
      </w:r>
    </w:p>
    <w:p>
      <w:pPr>
        <w:pStyle w:val="NormalWeb"/>
        <w:numPr>
          <w:ilvl w:val="1"/>
          <w:numId w:val="2"/>
        </w:numPr>
        <w:spacing w:lineRule="auto" w:line="240" w:before="0" w:after="0"/>
        <w:jc w:val="both"/>
        <w:rPr>
          <w:color w:val="000000"/>
          <w:sz w:val="24"/>
          <w:szCs w:val="24"/>
        </w:rPr>
      </w:pPr>
      <w:r>
        <w:rPr>
          <w:rFonts w:cs="Times New Roman"/>
          <w:color w:val="000000"/>
          <w:sz w:val="24"/>
          <w:szCs w:val="24"/>
        </w:rPr>
        <w:t xml:space="preserve">informację odnośnie terminu rozpoczęcia i zakończenia praktyk, </w:t>
      </w:r>
    </w:p>
    <w:p>
      <w:pPr>
        <w:pStyle w:val="NormalWeb"/>
        <w:numPr>
          <w:ilvl w:val="1"/>
          <w:numId w:val="2"/>
        </w:numPr>
        <w:spacing w:lineRule="auto" w:line="240" w:before="0" w:after="0"/>
        <w:jc w:val="both"/>
        <w:rPr>
          <w:color w:val="000000"/>
          <w:sz w:val="24"/>
          <w:szCs w:val="24"/>
        </w:rPr>
      </w:pPr>
      <w:r>
        <w:rPr>
          <w:rFonts w:cs="Times New Roman"/>
          <w:color w:val="000000"/>
          <w:sz w:val="24"/>
          <w:szCs w:val="24"/>
        </w:rPr>
        <w:t>pieczęć nagłówkową placówki z nazwą i adresem,</w:t>
      </w:r>
    </w:p>
    <w:p>
      <w:pPr>
        <w:pStyle w:val="NormalWeb"/>
        <w:numPr>
          <w:ilvl w:val="1"/>
          <w:numId w:val="2"/>
        </w:numPr>
        <w:spacing w:lineRule="auto" w:line="240" w:before="0" w:after="0"/>
        <w:jc w:val="both"/>
        <w:rPr>
          <w:color w:val="000000"/>
          <w:sz w:val="24"/>
          <w:szCs w:val="24"/>
        </w:rPr>
      </w:pPr>
      <w:r>
        <w:rPr>
          <w:rFonts w:cs="Times New Roman"/>
          <w:color w:val="000000"/>
          <w:sz w:val="24"/>
          <w:szCs w:val="24"/>
        </w:rPr>
        <w:t>pieczęć imienną i podpis koordynatora lub osoby prowadzącej praktyki.</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 xml:space="preserve">Student jest zobowiązany do złożenia w Dziekanacie WL oryginalnej, podpisanej                                   i opatrzonej pieczęciami karty praktyk lub czytelnego skanu (najlepiej w formacie PDF) najpóźniej w ostatnim dniu września danego roku. </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Wydziałowy Opiekun Praktyk</w:t>
      </w:r>
      <w:r>
        <w:rPr>
          <w:rFonts w:cs="Times New Roman"/>
          <w:iCs/>
          <w:color w:val="000000"/>
          <w:sz w:val="24"/>
          <w:szCs w:val="24"/>
        </w:rPr>
        <w:t xml:space="preserve"> </w:t>
      </w:r>
      <w:r>
        <w:rPr>
          <w:rFonts w:cs="Times New Roman"/>
          <w:color w:val="000000"/>
          <w:sz w:val="24"/>
          <w:szCs w:val="24"/>
        </w:rPr>
        <w:t>na podstawie przedstawionych dokumentów weryfikuje osiągnięcie przez studenta zakładanych efektów kształcenia i dokonuje zaliczenia praktyki.</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 xml:space="preserve">Zaliczenie praktyk może nastąpić także, za zgodą Prodziekana Wydziału Lekarskiego na drodze przeniesienia i uznania w miejsce praktyk zawodowych przewidzianych                                           w programie studiów pod warunkiem stwierdzenia spójności w obszarze efektów uczenia się. </w:t>
      </w:r>
    </w:p>
    <w:p>
      <w:pPr>
        <w:pStyle w:val="NormalWeb"/>
        <w:numPr>
          <w:ilvl w:val="0"/>
          <w:numId w:val="2"/>
        </w:numPr>
        <w:spacing w:lineRule="auto" w:line="240" w:before="0" w:after="0"/>
        <w:jc w:val="both"/>
        <w:rPr>
          <w:color w:val="000000"/>
          <w:sz w:val="24"/>
          <w:szCs w:val="24"/>
        </w:rPr>
      </w:pPr>
      <w:r>
        <w:rPr>
          <w:rFonts w:cs="Times New Roman"/>
          <w:color w:val="000000"/>
          <w:sz w:val="24"/>
          <w:szCs w:val="24"/>
        </w:rPr>
        <w:t>W przypadku niezaliczenia praktyk, Dziekan podejmuje decyzję dotyczącą warunkowego wpisu studenta na następny rok studiów, powtórzenia roku bądź skreślenia z listy studentów.</w:t>
      </w:r>
    </w:p>
    <w:p>
      <w:pPr>
        <w:pStyle w:val="Normal"/>
        <w:tabs>
          <w:tab w:val="clear" w:pos="708"/>
          <w:tab w:val="left" w:pos="567" w:leader="none"/>
        </w:tabs>
        <w:spacing w:lineRule="auto" w:line="240" w:before="0" w:after="0"/>
        <w:jc w:val="both"/>
        <w:rPr>
          <w:rFonts w:ascii="Times New Roman" w:hAnsi="Times New Roman" w:eastAsia="Times New Roman" w:cs="Times New Roman"/>
          <w:i/>
          <w:i/>
          <w:strike/>
          <w:color w:val="000000"/>
          <w:sz w:val="24"/>
          <w:szCs w:val="24"/>
          <w:lang w:val="pl-PL"/>
        </w:rPr>
      </w:pPr>
      <w:r>
        <w:rPr>
          <w:rFonts w:eastAsia="Times New Roman" w:cs="Times New Roman" w:ascii="Times New Roman" w:hAnsi="Times New Roman"/>
          <w:i/>
          <w:strike/>
          <w:color w:val="000000"/>
          <w:sz w:val="24"/>
          <w:szCs w:val="24"/>
          <w:lang w:val="pl-PL"/>
        </w:rPr>
      </w:r>
    </w:p>
    <w:p>
      <w:pPr>
        <w:pStyle w:val="Normal"/>
        <w:tabs>
          <w:tab w:val="clear" w:pos="708"/>
          <w:tab w:val="left" w:pos="567" w:leader="none"/>
        </w:tabs>
        <w:spacing w:lineRule="auto" w:line="240" w:before="0" w:after="0"/>
        <w:jc w:val="center"/>
        <w:rPr>
          <w:color w:val="000000"/>
          <w:sz w:val="24"/>
          <w:szCs w:val="24"/>
        </w:rPr>
      </w:pPr>
      <w:r>
        <w:rPr>
          <w:rFonts w:eastAsia="Times New Roman" w:cs="Times New Roman" w:ascii="Times New Roman" w:hAnsi="Times New Roman"/>
          <w:b/>
          <w:color w:val="000000"/>
          <w:sz w:val="24"/>
          <w:szCs w:val="24"/>
          <w:lang w:val="pl-PL"/>
        </w:rPr>
        <w:t>§6</w:t>
      </w:r>
    </w:p>
    <w:p>
      <w:pPr>
        <w:pStyle w:val="Normal"/>
        <w:tabs>
          <w:tab w:val="clear" w:pos="708"/>
          <w:tab w:val="left" w:pos="567" w:leader="none"/>
        </w:tabs>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istParagraph"/>
        <w:numPr>
          <w:ilvl w:val="0"/>
          <w:numId w:val="7"/>
        </w:numPr>
        <w:spacing w:lineRule="auto" w:line="240"/>
        <w:jc w:val="both"/>
        <w:rPr>
          <w:color w:val="000000"/>
          <w:sz w:val="24"/>
          <w:szCs w:val="24"/>
        </w:rPr>
      </w:pPr>
      <w:r>
        <w:rPr>
          <w:rFonts w:eastAsia="Times New Roman" w:cs="Times New Roman" w:ascii="Times New Roman" w:hAnsi="Times New Roman"/>
          <w:color w:val="000000"/>
          <w:sz w:val="24"/>
          <w:szCs w:val="24"/>
          <w:lang w:eastAsia="pl-PL"/>
        </w:rPr>
        <w:t xml:space="preserve">Nadzór dydaktyczno-wychowawczy oraz organizacyjny nad przebiegiem praktyk sprawuje opiekun praktyk, wyznaczony przez Dziekana Wydziału. </w:t>
      </w:r>
    </w:p>
    <w:p>
      <w:pPr>
        <w:pStyle w:val="ListParagraph"/>
        <w:numPr>
          <w:ilvl w:val="0"/>
          <w:numId w:val="7"/>
        </w:numPr>
        <w:spacing w:lineRule="auto" w:line="240"/>
        <w:jc w:val="both"/>
        <w:rPr>
          <w:color w:val="000000"/>
          <w:sz w:val="24"/>
          <w:szCs w:val="24"/>
        </w:rPr>
      </w:pPr>
      <w:r>
        <w:rPr>
          <w:rFonts w:eastAsia="Times New Roman" w:cs="Times New Roman" w:ascii="Times New Roman" w:hAnsi="Times New Roman"/>
          <w:color w:val="000000"/>
          <w:sz w:val="24"/>
          <w:szCs w:val="24"/>
        </w:rPr>
        <w:t xml:space="preserve">Wydziałowym koordynatorem praktyk jest Prodziekan ds. Dydaktyki (dyżur w dziekanacie w środy w godz. 12:00 – 14:00; tel. +48 52 585 33 96). W przypadku nieobecności </w:t>
      </w:r>
      <w:r>
        <w:rPr>
          <w:rFonts w:eastAsia="Times New Roman" w:cs="Times New Roman" w:ascii="Times New Roman" w:hAnsi="Times New Roman"/>
          <w:color w:val="000000"/>
          <w:sz w:val="24"/>
          <w:szCs w:val="24"/>
          <w:lang w:eastAsia="pl-PL"/>
        </w:rPr>
        <w:t>opiekuna praktyk</w:t>
      </w:r>
      <w:r>
        <w:rPr>
          <w:rFonts w:eastAsia="Times New Roman" w:cs="Times New Roman" w:ascii="Times New Roman" w:hAnsi="Times New Roman"/>
          <w:color w:val="000000"/>
          <w:sz w:val="24"/>
          <w:szCs w:val="24"/>
        </w:rPr>
        <w:t xml:space="preserve"> jego obowiązki przejmuje Prodziekan ds. Studenckich. </w:t>
      </w:r>
    </w:p>
    <w:p>
      <w:pPr>
        <w:pStyle w:val="ListParagraph"/>
        <w:numPr>
          <w:ilvl w:val="0"/>
          <w:numId w:val="7"/>
        </w:numPr>
        <w:spacing w:lineRule="auto" w:line="240"/>
        <w:jc w:val="both"/>
        <w:rPr>
          <w:color w:val="000000"/>
          <w:sz w:val="24"/>
          <w:szCs w:val="24"/>
        </w:rPr>
      </w:pPr>
      <w:r>
        <w:rPr>
          <w:rFonts w:eastAsia="Times New Roman" w:cs="Times New Roman" w:ascii="Times New Roman" w:hAnsi="Times New Roman"/>
          <w:color w:val="000000"/>
          <w:sz w:val="24"/>
          <w:szCs w:val="24"/>
        </w:rPr>
        <w:t>Zakres obowiązków opiekuna praktyk obejmuje:</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nadzór merytoryczny i organizacyjny nad przygotowaniem i przebiegiem praktyk,</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przygotowanie karty przebiegu praktyki zgodnie z założonymi na dany rok akademicki efektami kształcenia dla praktyk,</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udział w przygotowaniu projektów porozumień na studenckie praktyki zawodowe,</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zatwierdzanie indywidualnych programów praktyk,</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zatwierdzanie miejsc odbywania praktyk,</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rozwiązywanie ewentualnych problemów bądź kwestii spornych powstałych w trakcie odbywania przez studentów praktyk,</w:t>
      </w:r>
    </w:p>
    <w:p>
      <w:pPr>
        <w:pStyle w:val="ListParagraph"/>
        <w:numPr>
          <w:ilvl w:val="0"/>
          <w:numId w:val="4"/>
        </w:numPr>
        <w:spacing w:lineRule="auto" w:line="240"/>
        <w:ind w:left="720" w:hanging="153"/>
        <w:jc w:val="both"/>
        <w:rPr>
          <w:color w:val="000000"/>
          <w:sz w:val="24"/>
          <w:szCs w:val="24"/>
        </w:rPr>
      </w:pPr>
      <w:r>
        <w:rPr>
          <w:rFonts w:eastAsia="Times New Roman" w:cs="Times New Roman" w:ascii="Times New Roman" w:hAnsi="Times New Roman"/>
          <w:color w:val="000000"/>
          <w:sz w:val="24"/>
          <w:szCs w:val="24"/>
        </w:rPr>
        <w:t>zaliczanie odbycia praktyk (wpis do systemu USOS i wydrukowanie protokołu).</w:t>
      </w:r>
    </w:p>
    <w:p>
      <w:pPr>
        <w:pStyle w:val="Kolorowalistaakcent11"/>
        <w:numPr>
          <w:ilvl w:val="0"/>
          <w:numId w:val="7"/>
        </w:numPr>
        <w:tabs>
          <w:tab w:val="clear" w:pos="708"/>
          <w:tab w:val="left" w:pos="284" w:leader="none"/>
        </w:tabs>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val="pl-PL"/>
        </w:rPr>
        <w:t xml:space="preserve">W każdym roku akademickim monitorowanie praktyk prowadzi opiekun praktyk </w:t>
        <w:br/>
        <w:t>w porozumieniu z Dziekanem WL.</w:t>
      </w:r>
    </w:p>
    <w:p>
      <w:pPr>
        <w:pStyle w:val="ListParagraph"/>
        <w:numPr>
          <w:ilvl w:val="0"/>
          <w:numId w:val="6"/>
        </w:numPr>
        <w:spacing w:lineRule="auto" w:line="240"/>
        <w:jc w:val="both"/>
        <w:rPr>
          <w:color w:val="000000"/>
          <w:sz w:val="24"/>
          <w:szCs w:val="24"/>
        </w:rPr>
      </w:pPr>
      <w:r>
        <w:rPr>
          <w:rFonts w:eastAsia="Times New Roman" w:cs="Times New Roman" w:ascii="Times New Roman" w:hAnsi="Times New Roman"/>
          <w:color w:val="000000"/>
          <w:sz w:val="24"/>
          <w:szCs w:val="24"/>
        </w:rPr>
        <w:t>Kontrola praktyk odbywa się na podstawie: losowej wizytacji miejsc, gdzie odbywają się praktyki, telefonicznego monitorowanie przebiegu praktyk  oraz w oparciu o opinie studentów.</w:t>
      </w:r>
    </w:p>
    <w:p>
      <w:pPr>
        <w:pStyle w:val="ListParagraph"/>
        <w:numPr>
          <w:ilvl w:val="0"/>
          <w:numId w:val="6"/>
        </w:numPr>
        <w:spacing w:lineRule="auto" w:line="240" w:before="0" w:after="200"/>
        <w:contextualSpacing/>
        <w:jc w:val="both"/>
        <w:rPr>
          <w:color w:val="000000"/>
          <w:sz w:val="24"/>
          <w:szCs w:val="24"/>
        </w:rPr>
      </w:pPr>
      <w:r>
        <w:rPr>
          <w:rFonts w:eastAsia="Times New Roman" w:cs="Times New Roman" w:ascii="Times New Roman" w:hAnsi="Times New Roman"/>
          <w:color w:val="000000"/>
          <w:sz w:val="24"/>
          <w:szCs w:val="24"/>
        </w:rPr>
        <w:t>Student odbywający praktyki informuje na bieżąco opiekuna praktyk o ewentualnych niedociągnięciach ze strony zakładu pracy, gdzie odbywają się praktyki.</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w:altName w:val="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4" w:hanging="360"/>
      </w:pPr>
      <w:rPr>
        <w:lang w:val="pl-PL"/>
      </w:rPr>
    </w:lvl>
    <w:lvl w:ilvl="1">
      <w:start w:val="1"/>
      <w:numFmt w:val="lowerLetter"/>
      <w:lvlText w:val="%2."/>
      <w:lvlJc w:val="left"/>
      <w:pPr>
        <w:tabs>
          <w:tab w:val="num" w:pos="0"/>
        </w:tabs>
        <w:ind w:left="1504" w:hanging="360"/>
      </w:pPr>
      <w:rPr>
        <w:rFonts w:ascii="Times" w:hAnsi="Times"/>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2">
    <w:lvl w:ilvl="0">
      <w:start w:val="1"/>
      <w:numFmt w:val="decimal"/>
      <w:lvlText w:val="%1."/>
      <w:lvlJc w:val="left"/>
      <w:pPr>
        <w:tabs>
          <w:tab w:val="num" w:pos="720"/>
        </w:tabs>
        <w:ind w:left="720" w:hanging="360"/>
      </w:pPr>
      <w:rPr>
        <w:rFonts w:ascii="Times" w:hAnsi="Times"/>
      </w:rPr>
    </w:lvl>
    <w:lvl w:ilvl="1">
      <w:start w:val="1"/>
      <w:numFmt w:val="lowerLetter"/>
      <w:lvlText w:val="%2."/>
      <w:lvlJc w:val="left"/>
      <w:pPr>
        <w:tabs>
          <w:tab w:val="num" w:pos="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0"/>
        </w:tabs>
        <w:ind w:left="720" w:hanging="360"/>
      </w:pPr>
      <w:rPr>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right"/>
      <w:pPr>
        <w:tabs>
          <w:tab w:val="num" w:pos="0"/>
        </w:tabs>
        <w:ind w:left="720" w:hanging="360"/>
      </w:pPr>
      <w:rPr>
        <w:sz w:val="24"/>
        <w:szCs w:val="24"/>
        <w:rFonts w:ascii="Times" w:hAnsi="Tim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0"/>
        </w:tabs>
        <w:ind w:left="720" w:hanging="360"/>
      </w:pPr>
      <w:rPr>
        <w:sz w:val="24"/>
        <w:szCs w:val="24"/>
        <w:rFonts w:ascii="Times" w:hAnsi="Tim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rPr>
        <w:sz w:val="24"/>
        <w:szCs w:val="24"/>
        <w:rFonts w:ascii="Times New Roman" w:hAnsi="Times New Roman" w:eastAsia="Times New Roman"/>
        <w:lang w:val="pl-PL" w:eastAsia="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rFonts w:ascii="Times" w:hAnsi="Times"/>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righ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lowerLetter"/>
      <w:lvlText w:val="%1)"/>
      <w:lvlJc w:val="left"/>
      <w:pPr>
        <w:tabs>
          <w:tab w:val="num" w:pos="0"/>
        </w:tabs>
        <w:ind w:left="1308" w:hanging="720"/>
      </w:pPr>
      <w:rPr>
        <w:dstrike w:val="false"/>
        <w:strike w:val="false"/>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Arial" w:hAnsi="Arial" w:eastAsia="Cambria" w:cs="Arial"/>
      <w:color w:val="000000"/>
      <w:kern w:val="0"/>
      <w:sz w:val="24"/>
      <w:szCs w:val="24"/>
      <w:lang w:val="en-US" w:eastAsia="zh-CN" w:bidi="ar-SA"/>
    </w:rPr>
  </w:style>
  <w:style w:type="paragraph" w:styleId="Nagwek1">
    <w:name w:val="Heading 1"/>
    <w:basedOn w:val="Normal"/>
    <w:next w:val="Normal"/>
    <w:link w:val="Nagwek1Znak"/>
    <w:uiPriority w:val="9"/>
    <w:qFormat/>
    <w:pPr>
      <w:keepNext w:val="true"/>
      <w:keepLines/>
      <w:spacing w:before="480" w:after="200"/>
      <w:outlineLvl w:val="0"/>
    </w:pPr>
    <w:rPr>
      <w:rFonts w:eastAsia="Arial"/>
      <w:sz w:val="40"/>
      <w:szCs w:val="40"/>
    </w:rPr>
  </w:style>
  <w:style w:type="paragraph" w:styleId="Nagwek2">
    <w:name w:val="Heading 2"/>
    <w:basedOn w:val="Normal"/>
    <w:next w:val="Normal"/>
    <w:link w:val="Nagwek2Znak"/>
    <w:uiPriority w:val="9"/>
    <w:unhideWhenUsed/>
    <w:qFormat/>
    <w:pPr>
      <w:keepNext w:val="true"/>
      <w:keepLines/>
      <w:spacing w:before="360" w:after="200"/>
      <w:outlineLvl w:val="1"/>
    </w:pPr>
    <w:rPr>
      <w:rFonts w:eastAsia="Arial"/>
      <w:sz w:val="34"/>
    </w:rPr>
  </w:style>
  <w:style w:type="paragraph" w:styleId="Nagwek3">
    <w:name w:val="Heading 3"/>
    <w:basedOn w:val="Normal"/>
    <w:next w:val="Normal"/>
    <w:link w:val="Nagwek3Znak"/>
    <w:uiPriority w:val="9"/>
    <w:unhideWhenUsed/>
    <w:qFormat/>
    <w:pPr>
      <w:keepNext w:val="true"/>
      <w:keepLines/>
      <w:spacing w:before="320" w:after="200"/>
      <w:outlineLvl w:val="2"/>
    </w:pPr>
    <w:rPr>
      <w:rFonts w:eastAsia="Arial"/>
      <w:sz w:val="30"/>
      <w:szCs w:val="30"/>
    </w:rPr>
  </w:style>
  <w:style w:type="paragraph" w:styleId="Nagwek4">
    <w:name w:val="Heading 4"/>
    <w:basedOn w:val="Normal"/>
    <w:next w:val="Normal"/>
    <w:link w:val="Nagwek4Znak"/>
    <w:uiPriority w:val="9"/>
    <w:unhideWhenUsed/>
    <w:qFormat/>
    <w:pPr>
      <w:keepNext w:val="true"/>
      <w:keepLines/>
      <w:spacing w:before="320" w:after="200"/>
      <w:outlineLvl w:val="3"/>
    </w:pPr>
    <w:rPr>
      <w:rFonts w:eastAsia="Arial"/>
      <w:b/>
      <w:bCs/>
      <w:sz w:val="26"/>
      <w:szCs w:val="26"/>
    </w:rPr>
  </w:style>
  <w:style w:type="paragraph" w:styleId="Nagwek5">
    <w:name w:val="Heading 5"/>
    <w:basedOn w:val="Normal"/>
    <w:next w:val="Normal"/>
    <w:link w:val="Nagwek5Znak"/>
    <w:uiPriority w:val="9"/>
    <w:unhideWhenUsed/>
    <w:qFormat/>
    <w:pPr>
      <w:keepNext w:val="true"/>
      <w:keepLines/>
      <w:spacing w:before="320" w:after="200"/>
      <w:outlineLvl w:val="4"/>
    </w:pPr>
    <w:rPr>
      <w:rFonts w:eastAsia="Arial"/>
      <w:b/>
      <w:bCs/>
    </w:rPr>
  </w:style>
  <w:style w:type="paragraph" w:styleId="Nagwek6">
    <w:name w:val="Heading 6"/>
    <w:basedOn w:val="Normal"/>
    <w:next w:val="Normal"/>
    <w:link w:val="Nagwek6Znak"/>
    <w:uiPriority w:val="9"/>
    <w:unhideWhenUsed/>
    <w:qFormat/>
    <w:pPr>
      <w:keepNext w:val="true"/>
      <w:keepLines/>
      <w:spacing w:before="320" w:after="200"/>
      <w:outlineLvl w:val="5"/>
    </w:pPr>
    <w:rPr>
      <w:rFonts w:eastAsia="Arial"/>
      <w:b/>
      <w:bCs/>
      <w:sz w:val="22"/>
      <w:szCs w:val="22"/>
    </w:rPr>
  </w:style>
  <w:style w:type="paragraph" w:styleId="Nagwek7">
    <w:name w:val="Heading 7"/>
    <w:basedOn w:val="Normal"/>
    <w:next w:val="Normal"/>
    <w:link w:val="Nagwek7Znak"/>
    <w:uiPriority w:val="9"/>
    <w:unhideWhenUsed/>
    <w:qFormat/>
    <w:pPr>
      <w:keepNext w:val="true"/>
      <w:keepLines/>
      <w:spacing w:before="320" w:after="200"/>
      <w:outlineLvl w:val="6"/>
    </w:pPr>
    <w:rPr>
      <w:rFonts w:eastAsia="Arial"/>
      <w:b/>
      <w:bCs/>
      <w:i/>
      <w:iCs/>
      <w:sz w:val="22"/>
      <w:szCs w:val="22"/>
    </w:rPr>
  </w:style>
  <w:style w:type="paragraph" w:styleId="Nagwek8">
    <w:name w:val="Heading 8"/>
    <w:basedOn w:val="Normal"/>
    <w:next w:val="Normal"/>
    <w:link w:val="Nagwek8Znak"/>
    <w:uiPriority w:val="9"/>
    <w:unhideWhenUsed/>
    <w:qFormat/>
    <w:pPr>
      <w:keepNext w:val="true"/>
      <w:keepLines/>
      <w:spacing w:before="320" w:after="200"/>
      <w:outlineLvl w:val="7"/>
    </w:pPr>
    <w:rPr>
      <w:rFonts w:eastAsia="Arial"/>
      <w:i/>
      <w:iCs/>
      <w:sz w:val="22"/>
      <w:szCs w:val="22"/>
    </w:rPr>
  </w:style>
  <w:style w:type="paragraph" w:styleId="Nagwek9">
    <w:name w:val="Heading 9"/>
    <w:basedOn w:val="Normal"/>
    <w:next w:val="Normal"/>
    <w:link w:val="Nagwek9Znak"/>
    <w:uiPriority w:val="9"/>
    <w:unhideWhenUsed/>
    <w:qFormat/>
    <w:pPr>
      <w:keepNext w:val="true"/>
      <w:keepLines/>
      <w:spacing w:before="320" w:after="200"/>
      <w:outlineLvl w:val="8"/>
    </w:pPr>
    <w:rPr>
      <w:rFonts w:eastAsia="Arial"/>
      <w:i/>
      <w:iCs/>
      <w:sz w:val="21"/>
      <w:szCs w:val="21"/>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Pr>
      <w:rFonts w:ascii="Arial" w:hAnsi="Arial" w:eastAsia="Arial" w:cs="Arial"/>
      <w:sz w:val="40"/>
      <w:szCs w:val="40"/>
    </w:rPr>
  </w:style>
  <w:style w:type="character" w:styleId="Nagwek2Znak" w:customStyle="1">
    <w:name w:val="Nagłówek 2 Znak"/>
    <w:uiPriority w:val="9"/>
    <w:qFormat/>
    <w:rPr>
      <w:rFonts w:ascii="Arial" w:hAnsi="Arial" w:eastAsia="Arial" w:cs="Arial"/>
      <w:sz w:val="34"/>
    </w:rPr>
  </w:style>
  <w:style w:type="character" w:styleId="Nagwek3Znak" w:customStyle="1">
    <w:name w:val="Nagłówek 3 Znak"/>
    <w:uiPriority w:val="9"/>
    <w:qFormat/>
    <w:rPr>
      <w:rFonts w:ascii="Arial" w:hAnsi="Arial" w:eastAsia="Arial" w:cs="Arial"/>
      <w:sz w:val="30"/>
      <w:szCs w:val="30"/>
    </w:rPr>
  </w:style>
  <w:style w:type="character" w:styleId="Nagwek4Znak" w:customStyle="1">
    <w:name w:val="Nagłówek 4 Znak"/>
    <w:uiPriority w:val="9"/>
    <w:qFormat/>
    <w:rPr>
      <w:rFonts w:ascii="Arial" w:hAnsi="Arial" w:eastAsia="Arial" w:cs="Arial"/>
      <w:b/>
      <w:bCs/>
      <w:sz w:val="26"/>
      <w:szCs w:val="26"/>
    </w:rPr>
  </w:style>
  <w:style w:type="character" w:styleId="Nagwek5Znak" w:customStyle="1">
    <w:name w:val="Nagłówek 5 Znak"/>
    <w:uiPriority w:val="9"/>
    <w:qFormat/>
    <w:rPr>
      <w:rFonts w:ascii="Arial" w:hAnsi="Arial" w:eastAsia="Arial" w:cs="Arial"/>
      <w:b/>
      <w:bCs/>
      <w:sz w:val="24"/>
      <w:szCs w:val="24"/>
    </w:rPr>
  </w:style>
  <w:style w:type="character" w:styleId="Nagwek6Znak" w:customStyle="1">
    <w:name w:val="Nagłówek 6 Znak"/>
    <w:uiPriority w:val="9"/>
    <w:qFormat/>
    <w:rPr>
      <w:rFonts w:ascii="Arial" w:hAnsi="Arial" w:eastAsia="Arial" w:cs="Arial"/>
      <w:b/>
      <w:bCs/>
      <w:sz w:val="22"/>
      <w:szCs w:val="22"/>
    </w:rPr>
  </w:style>
  <w:style w:type="character" w:styleId="Nagwek7Znak" w:customStyle="1">
    <w:name w:val="Nagłówek 7 Znak"/>
    <w:uiPriority w:val="9"/>
    <w:qFormat/>
    <w:rPr>
      <w:rFonts w:ascii="Arial" w:hAnsi="Arial" w:eastAsia="Arial" w:cs="Arial"/>
      <w:b/>
      <w:bCs/>
      <w:i/>
      <w:iCs/>
      <w:sz w:val="22"/>
      <w:szCs w:val="22"/>
    </w:rPr>
  </w:style>
  <w:style w:type="character" w:styleId="Nagwek8Znak" w:customStyle="1">
    <w:name w:val="Nagłówek 8 Znak"/>
    <w:uiPriority w:val="9"/>
    <w:qFormat/>
    <w:rPr>
      <w:rFonts w:ascii="Arial" w:hAnsi="Arial" w:eastAsia="Arial" w:cs="Arial"/>
      <w:i/>
      <w:iCs/>
      <w:sz w:val="22"/>
      <w:szCs w:val="22"/>
    </w:rPr>
  </w:style>
  <w:style w:type="character" w:styleId="Nagwek9Znak" w:customStyle="1">
    <w:name w:val="Nagłówek 9 Znak"/>
    <w:uiPriority w:val="9"/>
    <w:qFormat/>
    <w:rPr>
      <w:rFonts w:ascii="Arial" w:hAnsi="Arial" w:eastAsia="Arial" w:cs="Arial"/>
      <w:i/>
      <w:iCs/>
      <w:sz w:val="21"/>
      <w:szCs w:val="21"/>
    </w:rPr>
  </w:style>
  <w:style w:type="character" w:styleId="TytuZnak" w:customStyle="1">
    <w:name w:val="Tytuł Znak"/>
    <w:uiPriority w:val="10"/>
    <w:qFormat/>
    <w:rPr>
      <w:sz w:val="48"/>
      <w:szCs w:val="48"/>
    </w:rPr>
  </w:style>
  <w:style w:type="character" w:styleId="PodtytuZnak" w:customStyle="1">
    <w:name w:val="Podtytuł Znak"/>
    <w:uiPriority w:val="11"/>
    <w:qFormat/>
    <w:rPr>
      <w:sz w:val="24"/>
      <w:szCs w:val="24"/>
    </w:rPr>
  </w:style>
  <w:style w:type="character" w:styleId="CytatZnak" w:customStyle="1">
    <w:name w:val="Cytat Znak"/>
    <w:link w:val="Quote"/>
    <w:uiPriority w:val="29"/>
    <w:qFormat/>
    <w:rPr>
      <w:i/>
    </w:rPr>
  </w:style>
  <w:style w:type="character" w:styleId="CytatintensywnyZnak" w:customStyle="1">
    <w:name w:val="Cytat intensywny Znak"/>
    <w:link w:val="IntenseQuote"/>
    <w:uiPriority w:val="30"/>
    <w:qFormat/>
    <w:rPr>
      <w:i/>
    </w:rPr>
  </w:style>
  <w:style w:type="character" w:styleId="NagwekZnak" w:customStyle="1">
    <w:name w:val="Nagłówek Znak"/>
    <w:uiPriority w:val="99"/>
    <w:qFormat/>
    <w:rPr/>
  </w:style>
  <w:style w:type="character" w:styleId="FooterChar" w:customStyle="1">
    <w:name w:val="Footer Char"/>
    <w:uiPriority w:val="99"/>
    <w:qFormat/>
    <w:rPr/>
  </w:style>
  <w:style w:type="character" w:styleId="StopkaZnak" w:customStyle="1">
    <w:name w:val="Stopka Znak"/>
    <w:uiPriority w:val="99"/>
    <w:qFormat/>
    <w:rPr/>
  </w:style>
  <w:style w:type="character" w:styleId="Czeinternetowe" w:customStyle="1">
    <w:name w:val="Łącze internetowe"/>
    <w:rPr>
      <w:color w:val="0000FF"/>
      <w:u w:val="single"/>
    </w:rPr>
  </w:style>
  <w:style w:type="character" w:styleId="TekstprzypisudolnegoZnak" w:customStyle="1">
    <w:name w:val="Tekst przypisu dolnego Znak"/>
    <w:uiPriority w:val="99"/>
    <w:qFormat/>
    <w:rPr>
      <w:sz w:val="18"/>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unhideWhenUsed/>
    <w:qFormat/>
    <w:rPr>
      <w:vertAlign w:val="superscript"/>
    </w:rPr>
  </w:style>
  <w:style w:type="character" w:styleId="TekstprzypisukocowegoZnak" w:customStyle="1">
    <w:name w:val="Tekst przypisu końcowego Znak"/>
    <w:uiPriority w:val="99"/>
    <w:qFormat/>
    <w:rPr>
      <w:sz w:val="20"/>
    </w:rPr>
  </w:style>
  <w:style w:type="character" w:styleId="Zakotwiczenieprzypisukocowego" w:customStyle="1">
    <w:name w:val="Zakotwiczenie przypisu końcowego"/>
    <w:rPr>
      <w:vertAlign w:val="superscript"/>
    </w:rPr>
  </w:style>
  <w:style w:type="character" w:styleId="EndnoteCharacters" w:customStyle="1">
    <w:name w:val="Endnote Characters"/>
    <w:uiPriority w:val="99"/>
    <w:semiHidden/>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lang w:val="pl-PL"/>
    </w:rPr>
  </w:style>
  <w:style w:type="character" w:styleId="WW8Num4z1" w:customStyle="1">
    <w:name w:val="WW8Num4z1"/>
    <w:qFormat/>
    <w:rPr>
      <w:rFonts w:ascii="Times" w:hAnsi="Times"/>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w:hAnsi="Times"/>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rFonts w:ascii="Courier New" w:hAnsi="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7z0" w:customStyle="1">
    <w:name w:val="WW8Num7z0"/>
    <w:qFormat/>
    <w:rPr/>
  </w:style>
  <w:style w:type="character" w:styleId="WW8Num7z1" w:customStyle="1">
    <w:name w:val="WW8Num7z1"/>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lang w:val="pl-PL"/>
    </w:rPr>
  </w:style>
  <w:style w:type="character" w:styleId="WW8Num9z1" w:customStyle="1">
    <w:name w:val="WW8Num9z1"/>
    <w:qFormat/>
    <w:rPr>
      <w:rFonts w:ascii="Courier New" w:hAnsi="Courier New"/>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eastAsia="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w:hAnsi="Times"/>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Times" w:hAnsi="Times"/>
      <w:sz w:val="24"/>
      <w:szCs w:val="24"/>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mes New Roman" w:hAnsi="Times New Roman" w:eastAsia="Times New Roman"/>
      <w:sz w:val="24"/>
      <w:szCs w:val="24"/>
      <w:lang w:val="pl-PL" w:eastAsia="pl-PL"/>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ascii="Courier New" w:hAnsi="Courier New"/>
    </w:rPr>
  </w:style>
  <w:style w:type="character" w:styleId="WW8Num18z2" w:customStyle="1">
    <w:name w:val="WW8Num18z2"/>
    <w:qFormat/>
    <w:rPr>
      <w:rFonts w:ascii="Wingdings" w:hAnsi="Wingdings"/>
    </w:rPr>
  </w:style>
  <w:style w:type="character" w:styleId="WW8Num18z3" w:customStyle="1">
    <w:name w:val="WW8Num18z3"/>
    <w:qFormat/>
    <w:rPr>
      <w:rFonts w:ascii="Symbol" w:hAnsi="Symbol"/>
    </w:rPr>
  </w:style>
  <w:style w:type="character" w:styleId="WW8Num19z0" w:customStyle="1">
    <w:name w:val="WW8Num19z0"/>
    <w:qFormat/>
    <w:rPr/>
  </w:style>
  <w:style w:type="character" w:styleId="WW8Num19z1" w:customStyle="1">
    <w:name w:val="WW8Num19z1"/>
    <w:qFormat/>
    <w:rPr>
      <w:rFonts w:ascii="Courier New" w:hAnsi="Courier New"/>
    </w:rPr>
  </w:style>
  <w:style w:type="character" w:styleId="WW8Num19z2" w:customStyle="1">
    <w:name w:val="WW8Num19z2"/>
    <w:qFormat/>
    <w:rPr>
      <w:rFonts w:ascii="Wingdings" w:hAnsi="Wingdings"/>
    </w:rPr>
  </w:style>
  <w:style w:type="character" w:styleId="WW8Num19z3" w:customStyle="1">
    <w:name w:val="WW8Num19z3"/>
    <w:qFormat/>
    <w:rPr>
      <w:rFonts w:ascii="Symbol" w:hAnsi="Symbol"/>
    </w:rPr>
  </w:style>
  <w:style w:type="character" w:styleId="WW8Num20z0" w:customStyle="1">
    <w:name w:val="WW8Num20z0"/>
    <w:qFormat/>
    <w:rPr/>
  </w:style>
  <w:style w:type="character" w:styleId="WW8Num20z1" w:customStyle="1">
    <w:name w:val="WW8Num20z1"/>
    <w:qFormat/>
    <w:rPr>
      <w:rFonts w:ascii="Courier New" w:hAnsi="Courier New"/>
    </w:rPr>
  </w:style>
  <w:style w:type="character" w:styleId="WW8Num20z2" w:customStyle="1">
    <w:name w:val="WW8Num20z2"/>
    <w:qFormat/>
    <w:rPr>
      <w:rFonts w:ascii="Wingdings" w:hAnsi="Wingdings"/>
    </w:rPr>
  </w:style>
  <w:style w:type="character" w:styleId="WW8Num20z3" w:customStyle="1">
    <w:name w:val="WW8Num20z3"/>
    <w:qFormat/>
    <w:rPr>
      <w:rFonts w:ascii="Symbol" w:hAnsi="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Times" w:hAnsi="Times"/>
      <w:lang w:val="pl-PL"/>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rFonts w:ascii="Courier New" w:hAnsi="Courier New"/>
    </w:rPr>
  </w:style>
  <w:style w:type="character" w:styleId="WW8Num24z2" w:customStyle="1">
    <w:name w:val="WW8Num24z2"/>
    <w:qFormat/>
    <w:rPr>
      <w:rFonts w:ascii="Wingdings" w:hAnsi="Wingdings"/>
    </w:rPr>
  </w:style>
  <w:style w:type="character" w:styleId="WW8Num24z3" w:customStyle="1">
    <w:name w:val="WW8Num24z3"/>
    <w:qFormat/>
    <w:rPr>
      <w:rFonts w:ascii="Symbol" w:hAnsi="Symbol"/>
    </w:rPr>
  </w:style>
  <w:style w:type="character" w:styleId="WW8Num25z0" w:customStyle="1">
    <w:name w:val="WW8Num25z0"/>
    <w:qFormat/>
    <w:rPr>
      <w:b w:val="false"/>
      <w:sz w:val="24"/>
      <w:szCs w:val="24"/>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rike w:val="false"/>
      <w:dstrike w:val="false"/>
      <w:lang w:val="pl-PL"/>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rFonts w:ascii="Courier New" w:hAnsi="Courier New"/>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b w:val="false"/>
      <w:sz w:val="24"/>
      <w:szCs w:val="24"/>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St" w:customStyle="1">
    <w:name w:val="st"/>
    <w:qFormat/>
    <w:rPr/>
  </w:style>
  <w:style w:type="character" w:styleId="Mocnowyrniony" w:customStyle="1">
    <w:name w:val="Mocno wyróżniony"/>
    <w:qFormat/>
    <w:rPr>
      <w:b/>
      <w:bCs/>
    </w:rPr>
  </w:style>
  <w:style w:type="character" w:styleId="TekstdymkaZnak" w:customStyle="1">
    <w:name w:val="Tekst dymka Znak"/>
    <w:qFormat/>
    <w:rPr>
      <w:rFonts w:ascii="Tahoma" w:hAnsi="Tahoma" w:eastAsia="Cambria"/>
      <w:color w:val="000000"/>
      <w:sz w:val="16"/>
      <w:szCs w:val="16"/>
      <w:lang w:val="en-US"/>
    </w:rPr>
  </w:style>
  <w:style w:type="character" w:styleId="Annotationreference">
    <w:name w:val="annotation reference"/>
    <w:qFormat/>
    <w:rPr>
      <w:sz w:val="16"/>
      <w:szCs w:val="16"/>
    </w:rPr>
  </w:style>
  <w:style w:type="character" w:styleId="TekstkomentarzaZnak" w:customStyle="1">
    <w:name w:val="Tekst komentarza Znak"/>
    <w:qFormat/>
    <w:rPr>
      <w:rFonts w:ascii="Arial" w:hAnsi="Arial" w:eastAsia="Cambria"/>
      <w:color w:val="000000"/>
      <w:lang w:val="en-US"/>
    </w:rPr>
  </w:style>
  <w:style w:type="character" w:styleId="TematkomentarzaZnak" w:customStyle="1">
    <w:name w:val="Temat komentarza Znak"/>
    <w:qFormat/>
    <w:rPr>
      <w:rFonts w:ascii="Arial" w:hAnsi="Arial" w:eastAsia="Cambria"/>
      <w:b/>
      <w:bCs/>
      <w:color w:val="000000"/>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ekstpodstawowy1"/>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ekstpodstawowy1"/>
    <w:link w:val="NagwekZnak"/>
    <w:pPr>
      <w:keepNext w:val="true"/>
      <w:spacing w:before="240" w:after="120"/>
    </w:pPr>
    <w:rPr>
      <w:rFonts w:ascii="Liberation Sans" w:hAnsi="Liberation Sans" w:eastAsia="Microsoft YaHei"/>
      <w:sz w:val="28"/>
      <w:szCs w:val="28"/>
    </w:rPr>
  </w:style>
  <w:style w:type="paragraph" w:styleId="Tekstpodstawowy1" w:customStyle="1">
    <w:name w:val="Tekst podstawowy1"/>
    <w:basedOn w:val="Normal"/>
    <w:qFormat/>
    <w:pPr>
      <w:spacing w:before="0" w:after="140"/>
    </w:pPr>
    <w:rPr/>
  </w:style>
  <w:style w:type="paragraph" w:styleId="Caption">
    <w:name w:val="caption"/>
    <w:basedOn w:val="Normal"/>
    <w:next w:val="Normal"/>
    <w:uiPriority w:val="35"/>
    <w:semiHidden/>
    <w:unhideWhenUsed/>
    <w:qFormat/>
    <w:pPr/>
    <w:rPr>
      <w:b/>
      <w:bCs/>
      <w:color w:val="4F81BD" w:themeColor="accent1"/>
      <w:sz w:val="18"/>
      <w:szCs w:val="18"/>
    </w:rPr>
  </w:style>
  <w:style w:type="paragraph" w:styleId="ListParagraph">
    <w:name w:val="List Paragraph"/>
    <w:basedOn w:val="Normal"/>
    <w:qFormat/>
    <w:pPr>
      <w:spacing w:before="0" w:after="200"/>
      <w:ind w:left="720" w:hanging="0"/>
      <w:contextualSpacing/>
    </w:pPr>
    <w:rPr>
      <w:rFonts w:ascii="Calibri" w:hAnsi="Calibri" w:eastAsia="Calibri"/>
      <w:sz w:val="22"/>
      <w:szCs w:val="22"/>
      <w:lang w:val="pl-PL"/>
    </w:rPr>
  </w:style>
  <w:style w:type="paragraph" w:styleId="NoSpacing">
    <w:name w:val="No Spacing"/>
    <w:qFormat/>
    <w:pPr>
      <w:widowControl/>
      <w:suppressAutoHyphens w:val="true"/>
      <w:bidi w:val="0"/>
      <w:spacing w:lineRule="auto" w:line="276" w:before="0" w:after="200"/>
      <w:jc w:val="left"/>
    </w:pPr>
    <w:rPr>
      <w:rFonts w:ascii="Calibri" w:hAnsi="Calibri" w:eastAsia="Calibri" w:cs="Arial" w:cstheme="minorBidi"/>
      <w:color w:val="auto"/>
      <w:kern w:val="0"/>
      <w:sz w:val="22"/>
      <w:szCs w:val="22"/>
      <w:lang w:val="pl-PL" w:eastAsia="zh-CN" w:bidi="ar-SA"/>
    </w:rPr>
  </w:style>
  <w:style w:type="paragraph" w:styleId="Tytu">
    <w:name w:val="Title"/>
    <w:basedOn w:val="Normal"/>
    <w:next w:val="Normal"/>
    <w:link w:val="TytuZnak"/>
    <w:uiPriority w:val="10"/>
    <w:qFormat/>
    <w:pPr>
      <w:spacing w:before="300" w:after="200"/>
      <w:contextualSpacing/>
    </w:pPr>
    <w:rPr>
      <w:sz w:val="48"/>
      <w:szCs w:val="48"/>
    </w:rPr>
  </w:style>
  <w:style w:type="paragraph" w:styleId="Podtytu">
    <w:name w:val="Subtitle"/>
    <w:basedOn w:val="Normal"/>
    <w:next w:val="Normal"/>
    <w:link w:val="PodtytuZnak"/>
    <w:uiPriority w:val="11"/>
    <w:qFormat/>
    <w:pPr>
      <w:spacing w:before="200" w:after="200"/>
    </w:pPr>
    <w:rPr/>
  </w:style>
  <w:style w:type="paragraph" w:styleId="Quote">
    <w:name w:val="Quote"/>
    <w:basedOn w:val="Normal"/>
    <w:next w:val="Normal"/>
    <w:link w:val="CytatZnak"/>
    <w:uiPriority w:val="29"/>
    <w:qFormat/>
    <w:pPr>
      <w:ind w:left="720" w:right="720" w:hanging="0"/>
    </w:pPr>
    <w:rPr>
      <w:i/>
    </w:rPr>
  </w:style>
  <w:style w:type="paragraph" w:styleId="IntenseQuote">
    <w:name w:val="Intense Quote"/>
    <w:basedOn w:val="Normal"/>
    <w:next w:val="Normal"/>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Stopka">
    <w:name w:val="Footer"/>
    <w:basedOn w:val="Normal"/>
    <w:link w:val="StopkaZnak"/>
    <w:uiPriority w:val="99"/>
    <w:unhideWhenUsed/>
    <w:pPr>
      <w:tabs>
        <w:tab w:val="clear" w:pos="708"/>
        <w:tab w:val="center" w:pos="7143" w:leader="none"/>
        <w:tab w:val="right" w:pos="14287" w:leader="none"/>
      </w:tabs>
      <w:spacing w:lineRule="auto" w:line="240" w:before="0" w:after="0"/>
    </w:pPr>
    <w:rPr/>
  </w:style>
  <w:style w:type="paragraph" w:styleId="Przypisdolny">
    <w:name w:val="Footnote Text"/>
    <w:basedOn w:val="Normal"/>
    <w:link w:val="TekstprzypisudolnegoZnak"/>
    <w:uiPriority w:val="99"/>
    <w:semiHidden/>
    <w:unhideWhenUsed/>
    <w:pPr>
      <w:spacing w:lineRule="auto" w:line="240" w:before="0" w:after="40"/>
    </w:pPr>
    <w:rPr>
      <w:sz w:val="18"/>
    </w:rPr>
  </w:style>
  <w:style w:type="paragraph" w:styleId="Przypiskocowy">
    <w:name w:val="Endnote Text"/>
    <w:basedOn w:val="Normal"/>
    <w:link w:val="TekstprzypisukocowegoZnak"/>
    <w:uiPriority w:val="99"/>
    <w:semiHidden/>
    <w:unhideWhenUsed/>
    <w:pPr>
      <w:spacing w:lineRule="auto" w:line="240" w:before="0" w:after="0"/>
    </w:pPr>
    <w:rPr>
      <w:sz w:val="20"/>
    </w:rPr>
  </w:style>
  <w:style w:type="paragraph" w:styleId="Spistreci1">
    <w:name w:val="TOC 1"/>
    <w:basedOn w:val="Normal"/>
    <w:next w:val="Normal"/>
    <w:uiPriority w:val="39"/>
    <w:unhideWhenUsed/>
    <w:pPr>
      <w:spacing w:before="0" w:after="57"/>
    </w:pPr>
    <w:rPr/>
  </w:style>
  <w:style w:type="paragraph" w:styleId="Spistreci2">
    <w:name w:val="TOC 2"/>
    <w:basedOn w:val="Normal"/>
    <w:next w:val="Normal"/>
    <w:uiPriority w:val="39"/>
    <w:unhideWhenUsed/>
    <w:pPr>
      <w:spacing w:before="0" w:after="57"/>
      <w:ind w:left="283" w:hanging="0"/>
    </w:pPr>
    <w:rPr/>
  </w:style>
  <w:style w:type="paragraph" w:styleId="Spistreci3">
    <w:name w:val="TOC 3"/>
    <w:basedOn w:val="Normal"/>
    <w:next w:val="Normal"/>
    <w:uiPriority w:val="39"/>
    <w:unhideWhenUsed/>
    <w:pPr>
      <w:spacing w:before="0" w:after="57"/>
      <w:ind w:left="567" w:hanging="0"/>
    </w:pPr>
    <w:rPr/>
  </w:style>
  <w:style w:type="paragraph" w:styleId="Spistreci4">
    <w:name w:val="TOC 4"/>
    <w:basedOn w:val="Normal"/>
    <w:next w:val="Normal"/>
    <w:uiPriority w:val="39"/>
    <w:unhideWhenUsed/>
    <w:pPr>
      <w:spacing w:before="0" w:after="57"/>
      <w:ind w:left="850" w:hanging="0"/>
    </w:pPr>
    <w:rPr/>
  </w:style>
  <w:style w:type="paragraph" w:styleId="Spistreci5">
    <w:name w:val="TOC 5"/>
    <w:basedOn w:val="Normal"/>
    <w:next w:val="Normal"/>
    <w:uiPriority w:val="39"/>
    <w:unhideWhenUsed/>
    <w:pPr>
      <w:spacing w:before="0" w:after="57"/>
      <w:ind w:left="1134" w:hanging="0"/>
    </w:pPr>
    <w:rPr/>
  </w:style>
  <w:style w:type="paragraph" w:styleId="Spistreci6">
    <w:name w:val="TOC 6"/>
    <w:basedOn w:val="Normal"/>
    <w:next w:val="Normal"/>
    <w:uiPriority w:val="39"/>
    <w:unhideWhenUsed/>
    <w:pPr>
      <w:spacing w:before="0" w:after="57"/>
      <w:ind w:left="1417" w:hanging="0"/>
    </w:pPr>
    <w:rPr/>
  </w:style>
  <w:style w:type="paragraph" w:styleId="Spistreci7">
    <w:name w:val="TOC 7"/>
    <w:basedOn w:val="Normal"/>
    <w:next w:val="Normal"/>
    <w:uiPriority w:val="39"/>
    <w:unhideWhenUsed/>
    <w:pPr>
      <w:spacing w:before="0" w:after="57"/>
      <w:ind w:left="1701" w:hanging="0"/>
    </w:pPr>
    <w:rPr/>
  </w:style>
  <w:style w:type="paragraph" w:styleId="Spistreci8">
    <w:name w:val="TOC 8"/>
    <w:basedOn w:val="Normal"/>
    <w:next w:val="Normal"/>
    <w:uiPriority w:val="39"/>
    <w:unhideWhenUsed/>
    <w:pPr>
      <w:spacing w:before="0" w:after="57"/>
      <w:ind w:left="1984" w:hanging="0"/>
    </w:pPr>
    <w:rPr/>
  </w:style>
  <w:style w:type="paragraph" w:styleId="Spistreci9">
    <w:name w:val="TOC 9"/>
    <w:basedOn w:val="Normal"/>
    <w:next w:val="Normal"/>
    <w:uiPriority w:val="39"/>
    <w:unhideWhenUsed/>
    <w:pPr>
      <w:spacing w:before="0" w:after="57"/>
      <w:ind w:left="2268" w:hanging="0"/>
    </w:pPr>
    <w:rPr/>
  </w:style>
  <w:style w:type="paragraph" w:styleId="Indexheading">
    <w:name w:val="index heading"/>
    <w:basedOn w:val="Gwka"/>
    <w:qFormat/>
    <w:pPr/>
    <w:rPr/>
  </w:style>
  <w:style w:type="paragraph" w:styleId="Nagwekindeksu">
    <w:name w:val="Index Heading"/>
    <w:basedOn w:val="Nagwek"/>
    <w:pPr/>
    <w:rPr/>
  </w:style>
  <w:style w:type="paragraph" w:styleId="Nagwekspisutreci">
    <w:name w:val="TOC Heading"/>
    <w:uiPriority w:val="39"/>
    <w:unhideWhenUsed/>
    <w:pPr>
      <w:widowControl/>
      <w:suppressAutoHyphens w:val="true"/>
      <w:bidi w:val="0"/>
      <w:spacing w:lineRule="auto" w:line="276" w:before="0" w:after="200"/>
      <w:jc w:val="left"/>
    </w:pPr>
    <w:rPr>
      <w:rFonts w:ascii="Arial" w:hAnsi="Arial" w:eastAsia="Arial" w:cs="Arial" w:asciiTheme="minorHAnsi" w:cstheme="minorBidi" w:eastAsiaTheme="minorHAnsi"/>
      <w:color w:val="auto"/>
      <w:kern w:val="0"/>
      <w:sz w:val="22"/>
      <w:szCs w:val="22"/>
      <w:lang w:val="en-US" w:eastAsia="en-US" w:bidi="ar-SA"/>
    </w:rPr>
  </w:style>
  <w:style w:type="paragraph" w:styleId="Sygnatura">
    <w:name w:val="Signature"/>
    <w:basedOn w:val="Normal"/>
    <w:pPr>
      <w:suppressLineNumbers/>
      <w:spacing w:before="120" w:after="120"/>
    </w:pPr>
    <w:rPr>
      <w:i/>
      <w:iCs/>
    </w:rPr>
  </w:style>
  <w:style w:type="paragraph" w:styleId="Kolorowalistaakcent11" w:customStyle="1">
    <w:name w:val="Kolorowa lista — akcent 11"/>
    <w:basedOn w:val="Normal"/>
    <w:qFormat/>
    <w:pPr>
      <w:spacing w:before="0" w:after="200"/>
      <w:ind w:left="720" w:hanging="0"/>
      <w:contextualSpacing/>
    </w:pPr>
    <w:rPr/>
  </w:style>
  <w:style w:type="paragraph" w:styleId="BalloonText">
    <w:name w:val="Balloon Text"/>
    <w:basedOn w:val="Normal"/>
    <w:qFormat/>
    <w:pPr>
      <w:spacing w:before="0" w:after="0"/>
    </w:pPr>
    <w:rPr>
      <w:rFonts w:ascii="Tahoma" w:hAnsi="Tahoma"/>
      <w:sz w:val="16"/>
      <w:szCs w:val="16"/>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before="280" w:after="280"/>
    </w:pPr>
    <w:rPr>
      <w:rFonts w:ascii="Times New Roman" w:hAnsi="Times New Roman" w:eastAsia="Times New Roman"/>
      <w:lang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Standardowy"/>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Zwykatabela1">
    <w:name w:val="Plain Table 1"/>
    <w:basedOn w:val="Standardowy"/>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Zwykatabela2">
    <w:name w:val="Plain Table 2"/>
    <w:basedOn w:val="Standardowy"/>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Zwykatabela4">
    <w:name w:val="Plain Table 4"/>
    <w:basedOn w:val="Standardowy"/>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elasiatki1jasna">
    <w:name w:val="Grid Table 1 Light"/>
    <w:basedOn w:val="Standardowy"/>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Standardowy"/>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basedOn w:val="Standardowy"/>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basedOn w:val="Standardowy"/>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basedOn w:val="Standardowy"/>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basedOn w:val="Standardowy"/>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basedOn w:val="Standardowy"/>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styleId="Tabelasiatki2">
    <w:name w:val="Grid Table 2"/>
    <w:basedOn w:val="Standardowy"/>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FFFFFF"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FFFFFF"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FFFFFF"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FFFFFF"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3">
    <w:name w:val="Grid Table 3"/>
    <w:basedOn w:val="Standardowy"/>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4">
    <w:name w:val="Grid Table 4"/>
    <w:basedOn w:val="Standardowy"/>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FFFFFF"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hemeFill="accent1" w:themeFillTint="32"/>
      </w:tcPr>
    </w:tblStylePr>
    <w:tblStylePr w:type="band1Horz">
      <w:rPr>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FFFFFF"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FFFFFF"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FFFFFF"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4F81BD" w:themeFill="accent1"/>
      </w:tcPr>
    </w:tblStylePr>
    <w:tblStylePr w:type="lastRow">
      <w:rPr>
        <w:b/>
        <w:color w:val="FFFFFF"/>
        <w:sz w:val="22"/>
      </w:rPr>
      <w:tblPr/>
      <w:tcPr>
        <w:tcBorders>
          <w:top w:val="single" w:color="FFFFFF" w:themeColor="light1" w:sz="4" w:space="0"/>
        </w:tcBorders>
        <w:shd w:val="clear" w:color="FFFFFF" w:fill="4F81BD" w:themeFill="accent1"/>
      </w:tcPr>
    </w:tblStylePr>
    <w:tblStylePr w:type="firstCol">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C0504D" w:themeFill="accent2"/>
      </w:tcPr>
    </w:tblStylePr>
    <w:tblStylePr w:type="lastRow">
      <w:rPr>
        <w:b/>
        <w:color w:val="FFFFFF"/>
        <w:sz w:val="22"/>
      </w:rPr>
      <w:tblPr/>
      <w:tcPr>
        <w:tcBorders>
          <w:top w:val="single" w:color="FFFFFF" w:themeColor="light1" w:sz="4" w:space="0"/>
        </w:tcBorders>
        <w:shd w:val="clear" w:color="FFFFFF" w:fill="C0504D" w:themeFill="accent2"/>
      </w:tcPr>
    </w:tblStylePr>
    <w:tblStylePr w:type="firstCol">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9BBB59" w:themeFill="accent3"/>
      </w:tcPr>
    </w:tblStylePr>
    <w:tblStylePr w:type="lastRow">
      <w:rPr>
        <w:b/>
        <w:color w:val="FFFFFF"/>
        <w:sz w:val="22"/>
      </w:rPr>
      <w:tblPr/>
      <w:tcPr>
        <w:tcBorders>
          <w:top w:val="single" w:color="FFFFFF" w:themeColor="light1" w:sz="4" w:space="0"/>
        </w:tcBorders>
        <w:shd w:val="clear" w:color="FFFFFF" w:fill="9BBB59" w:themeFill="accent3"/>
      </w:tcPr>
    </w:tblStylePr>
    <w:tblStylePr w:type="firstCol">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8064A2" w:themeFill="accent4"/>
      </w:tcPr>
    </w:tblStylePr>
    <w:tblStylePr w:type="lastRow">
      <w:rPr>
        <w:b/>
        <w:color w:val="FFFFFF"/>
        <w:sz w:val="22"/>
      </w:rPr>
      <w:tblPr/>
      <w:tcPr>
        <w:tcBorders>
          <w:top w:val="single" w:color="FFFFFF" w:themeColor="light1" w:sz="4" w:space="0"/>
        </w:tcBorders>
        <w:shd w:val="clear" w:color="FFFFFF" w:fill="8064A2" w:themeFill="accent4"/>
      </w:tcPr>
    </w:tblStylePr>
    <w:tblStylePr w:type="firstCol">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4BACC6" w:themeFill="accent5"/>
      </w:tcPr>
    </w:tblStylePr>
    <w:tblStylePr w:type="lastRow">
      <w:rPr>
        <w:b/>
        <w:color w:val="FFFFFF"/>
        <w:sz w:val="22"/>
      </w:rPr>
      <w:tblPr/>
      <w:tcPr>
        <w:tcBorders>
          <w:top w:val="single" w:color="FFFFFF" w:themeColor="light1" w:sz="4" w:space="0"/>
        </w:tcBorders>
        <w:shd w:val="clear" w:color="FFFFFF" w:fill="4BACC6" w:themeFill="accent5"/>
      </w:tcPr>
    </w:tblStylePr>
    <w:tblStylePr w:type="firstCol">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F79646" w:themeFill="accent6"/>
      </w:tcPr>
    </w:tblStylePr>
    <w:tblStylePr w:type="lastRow">
      <w:rPr>
        <w:b/>
        <w:color w:val="FFFFFF"/>
        <w:sz w:val="22"/>
      </w:rPr>
      <w:tblPr/>
      <w:tcPr>
        <w:tcBorders>
          <w:top w:val="single" w:color="FFFFFF" w:themeColor="light1" w:sz="4" w:space="0"/>
        </w:tcBorders>
        <w:shd w:val="clear" w:color="FFFFFF" w:fill="F79646" w:themeFill="accent6"/>
      </w:tcPr>
    </w:tblStylePr>
    <w:tblStylePr w:type="firstCol">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Standardowy"/>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Standardowy"/>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Standardowy"/>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Standardowy"/>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Standardowy"/>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Standardowy"/>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FDE9D8" w:themeFill="accent6" w:themeFillTint="34"/>
      </w:tcPr>
    </w:tblStylePr>
    <w:tblStylePr w:type="band1Horz">
      <w:rPr>
        <w:color w:val="266779" w:themeColor="accent5" w:themeShade="95"/>
        <w:sz w:val="22"/>
      </w:rPr>
      <w:tblPr/>
      <w:tcPr>
        <w:shd w:val="clear" w:color="FFFFFF" w:fill="FDE9D8" w:themeFill="accent6" w:themeFillTint="34"/>
      </w:tcPr>
    </w:tblStylePr>
    <w:tblStylePr w:type="band2Horz">
      <w:rPr>
        <w:color w:val="266779" w:themeColor="accent5" w:themeShade="95"/>
        <w:sz w:val="22"/>
      </w:rPr>
      <w:tblPr/>
    </w:tblStylePr>
  </w:style>
  <w:style w:type="table" w:styleId="Tabelasiatki7kolorowa">
    <w:name w:val="Grid Table 7 Colorful"/>
    <w:basedOn w:val="Standardowy"/>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Standardowy"/>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FFFFFF"/>
      </w:tcPr>
    </w:tblStylePr>
    <w:tblStylePr w:type="lastCol">
      <w:rPr>
        <w:i/>
        <w:color w:val="A6BFDD"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FFFFFF"/>
      </w:tc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Standardowy"/>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FFFFFF"/>
      </w:tc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Standardowy"/>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FFFFFF"/>
      </w:tcPr>
    </w:tblStylePr>
    <w:tblStylePr w:type="lastCol">
      <w:rPr>
        <w:i/>
        <w:color w:val="9ABB59"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FFFFFF"/>
      </w:tc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Standardowy"/>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FFFFFF"/>
      </w:tc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Standardowy"/>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FFFFFF"/>
      </w:tcPr>
    </w:tblStylePr>
    <w:tblStylePr w:type="lastCol">
      <w:rPr>
        <w:i/>
        <w:color w:val="266779"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FFFFFF"/>
      </w:tc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Standardowy"/>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FFFFFF"/>
      </w:tcPr>
    </w:tblStylePr>
    <w:tblStylePr w:type="lastCol">
      <w:rPr>
        <w:i/>
        <w:color w:val="B15407"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FFFFFF"/>
      </w:tcPr>
    </w:tblStylePr>
    <w:tblStylePr w:type="band1Vert">
      <w:tblPr/>
      <w:tcPr>
        <w:shd w:val="clear" w:color="FFFFFF" w:fill="FDE9D8" w:themeFill="accent6" w:themeFillTint="34"/>
      </w:tcPr>
    </w:tblStylePr>
    <w:tblStylePr w:type="band1Horz">
      <w:rPr>
        <w:color w:val="B15407" w:themeColor="accent6" w:themeShade="95"/>
        <w:sz w:val="22"/>
      </w:rPr>
      <w:tblPr/>
      <w:tcPr>
        <w:shd w:val="clear" w:color="FFFFFF" w:fill="FDE9D8" w:themeFill="accent6" w:themeFillTint="34"/>
      </w:tcPr>
    </w:tblStylePr>
    <w:tblStylePr w:type="band2Horz">
      <w:rPr>
        <w:color w:val="B15407" w:themeColor="accent6" w:themeShade="95"/>
        <w:sz w:val="22"/>
      </w:rPr>
      <w:tbl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elalisty2">
    <w:name w:val="List Table 2"/>
    <w:basedOn w:val="Standardowy"/>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elalisty3">
    <w:name w:val="List Table 3"/>
    <w:basedOn w:val="Standardowy"/>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Standardowy"/>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Standardowy"/>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FFFFFF"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basedOn w:val="Standardowy"/>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FFFFFF"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basedOn w:val="Standardowy"/>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FFFFFF"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basedOn w:val="Standardowy"/>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FFFFFF"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basedOn w:val="Standardowy"/>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FFFFF"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styleId="Tabelalisty4">
    <w:name w:val="List Table 4"/>
    <w:basedOn w:val="Standardowy"/>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FFFFFF"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FFFFFF"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FFFFFF"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FFFFFF"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FFFFF"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000000"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C0504D" w:themeColor="accent2" w:sz="32" w:space="0"/>
          <w:bottom w:val="single" w:color="FFFFFF" w:themeColor="light1" w:sz="12" w:space="0"/>
        </w:tcBorders>
        <w:shd w:val="clear" w:color="FFFFFF"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9BBB59" w:themeColor="accent3" w:sz="32" w:space="0"/>
          <w:bottom w:val="single" w:color="FFFFFF" w:themeColor="light1" w:sz="12" w:space="0"/>
        </w:tcBorders>
        <w:shd w:val="clear" w:color="FFFFFF"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8064A2" w:themeColor="accent4" w:sz="32" w:space="0"/>
          <w:bottom w:val="single" w:color="FFFFFF" w:themeColor="light1" w:sz="12" w:space="0"/>
        </w:tcBorders>
        <w:shd w:val="clear" w:color="FFFFFF"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4BACC6" w:themeColor="accent5" w:sz="32" w:space="0"/>
          <w:bottom w:val="single" w:color="FFFFFF" w:themeColor="light1" w:sz="12" w:space="0"/>
        </w:tcBorders>
        <w:shd w:val="clear" w:color="FFFFFF"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79646" w:themeColor="accent6" w:sz="32" w:space="0"/>
          <w:bottom w:val="single" w:color="FFFFFF" w:themeColor="light1" w:sz="12" w:space="0"/>
        </w:tcBorders>
        <w:shd w:val="clear" w:color="FFFFFF"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Standardowy"/>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Standardowy"/>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Standardowy"/>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Standardowy"/>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Standardowy"/>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Standardowy"/>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styleId="Tabelalisty7kolorowa">
    <w:name w:val="List Table 7 Colorful"/>
    <w:basedOn w:val="Standardowy"/>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Standardowy"/>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FFFFFF"/>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FFFFFF"/>
      </w:tc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Standardowy"/>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FFFFFF"/>
      </w:tc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Standardowy"/>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FFFFFF"/>
      </w:tcPr>
    </w:tblStylePr>
    <w:tblStylePr w:type="lastCol">
      <w:rPr>
        <w:i/>
        <w:color w:val="C3D69B"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FFFFFF"/>
      </w:tc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Standardowy"/>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FFFFFF"/>
      </w:tc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Standardowy"/>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FFFFFF"/>
      </w:tcPr>
    </w:tblStylePr>
    <w:tblStylePr w:type="lastCol">
      <w:rPr>
        <w:i/>
        <w:color w:val="92CCDC"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FFFFFF"/>
      </w:tc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Standardowy"/>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FFFFFF"/>
      </w:tcPr>
    </w:tblStylePr>
    <w:tblStylePr w:type="lastCol">
      <w:rPr>
        <w:i/>
        <w:color w:val="FAC090"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FFFFFF"/>
      </w:tc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Lined-Accent2">
    <w:name w:val="Lined - Accent 2"/>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Lined-Accent3">
    <w:name w:val="Lined - Accent 3"/>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Lined-Accent4">
    <w:name w:val="Lined - Accent 4"/>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Lined-Accent5">
    <w:name w:val="Lined - Accent 5"/>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Lined-Accent6">
    <w:name w:val="Lined - Accent 6"/>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Pr>
      <w:lang w:val="pl-PL" w:eastAsia="pl-PL"/>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basedOn w:val="Standardowy"/>
    <w:uiPriority w:val="99"/>
    <w:rPr>
      <w:lang w:val="pl-PL" w:eastAsia="pl-PL"/>
      <w:color w:val="404040"/>
      <w:sz w:val="20"/>
      <w:szCs w:val="20"/>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Pr>
      <w:lang w:val="pl-PL" w:eastAsia="pl-PL"/>
      <w:color w:val="404040"/>
      <w:sz w:val="20"/>
      <w:szCs w:val="20"/>
    </w:r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Pr>
      <w:lang w:val="pl-PL" w:eastAsia="pl-PL"/>
      <w:color w:val="404040"/>
      <w:sz w:val="20"/>
      <w:szCs w:val="20"/>
    </w:r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Pr>
      <w:lang w:val="pl-PL" w:eastAsia="pl-PL"/>
      <w:color w:val="404040"/>
      <w:sz w:val="20"/>
      <w:szCs w:val="20"/>
    </w:r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Pr>
      <w:lang w:val="pl-PL" w:eastAsia="pl-PL"/>
      <w:color w:val="404040"/>
      <w:sz w:val="20"/>
      <w:szCs w:val="20"/>
    </w:r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Pr>
      <w:lang w:val="pl-PL" w:eastAsia="pl-PL"/>
      <w:color w:val="404040"/>
      <w:sz w:val="20"/>
      <w:szCs w:val="20"/>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
    <w:name w:val="Bordered"/>
    <w:basedOn w:val="Standardowy"/>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Standardowy"/>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basedOn w:val="Standardowy"/>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basedOn w:val="Standardowy"/>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basedOn w:val="Standardowy"/>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basedOn w:val="Standardowy"/>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basedOn w:val="Standardowy"/>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LibreOffice/7.3.2.2$Windows_x86 LibreOffice_project/49f2b1bff42cfccbd8f788c8dc32c1c309559be0</Application>
  <AppVersion>15.0000</AppVersion>
  <Pages>4</Pages>
  <Words>1336</Words>
  <Characters>8864</Characters>
  <CharactersWithSpaces>10361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2024-04-15T18:21:00Z</dcterms:created>
  <dc:creator>Dziekanat</dc:creator>
  <dc:description/>
  <dc:language>pl-PL</dc:language>
  <cp:lastModifiedBy/>
  <cp:lastPrinted>2024-03-29T14:51:00Z</cp:lastPrinted>
  <dcterms:modified xsi:type="dcterms:W3CDTF">2024-04-25T17:36:54Z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